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7D1B8" w14:textId="789A84C3" w:rsidR="00B50727" w:rsidRPr="00DB779A" w:rsidRDefault="000D7750" w:rsidP="000B38A4">
      <w:pPr>
        <w:keepNext/>
        <w:keepLines/>
        <w:rPr>
          <w:b/>
          <w:u w:val="single"/>
        </w:rPr>
      </w:pPr>
      <w:r>
        <w:rPr>
          <w:b/>
          <w:u w:val="single"/>
        </w:rPr>
        <w:t xml:space="preserve">COLD PATCH </w:t>
      </w:r>
      <w:r w:rsidR="00C30808">
        <w:rPr>
          <w:b/>
          <w:u w:val="single"/>
        </w:rPr>
        <w:t>ASPHALT</w:t>
      </w:r>
      <w:r w:rsidR="008A18D2" w:rsidRPr="00DB779A">
        <w:rPr>
          <w:b/>
          <w:u w:val="single"/>
        </w:rPr>
        <w:t>:</w:t>
      </w:r>
    </w:p>
    <w:tbl>
      <w:tblPr>
        <w:tblW w:w="9558" w:type="dxa"/>
        <w:tblLayout w:type="fixed"/>
        <w:tblLook w:val="0000" w:firstRow="0" w:lastRow="0" w:firstColumn="0" w:lastColumn="0" w:noHBand="0" w:noVBand="0"/>
      </w:tblPr>
      <w:tblGrid>
        <w:gridCol w:w="2178"/>
        <w:gridCol w:w="6210"/>
        <w:gridCol w:w="1170"/>
      </w:tblGrid>
      <w:tr w:rsidR="00B2162B" w:rsidRPr="00286B71" w14:paraId="18B79DD0" w14:textId="77777777" w:rsidTr="003B5DDE">
        <w:tc>
          <w:tcPr>
            <w:tcW w:w="2178" w:type="dxa"/>
          </w:tcPr>
          <w:p w14:paraId="16AFAC36" w14:textId="5B521FCB" w:rsidR="00B2162B" w:rsidRPr="00286B71" w:rsidRDefault="00B2162B" w:rsidP="003B5DDE">
            <w:pPr>
              <w:keepNext/>
              <w:keepLines/>
              <w:rPr>
                <w:rFonts w:eastAsia="Calibri"/>
                <w:sz w:val="16"/>
              </w:rPr>
            </w:pPr>
            <w:bookmarkStart w:id="0" w:name="_Toc83196561"/>
            <w:r w:rsidRPr="00286B71">
              <w:rPr>
                <w:rFonts w:eastAsia="Calibri"/>
                <w:sz w:val="16"/>
              </w:rPr>
              <w:t>(</w:t>
            </w:r>
            <w:r>
              <w:rPr>
                <w:rFonts w:eastAsia="Calibri"/>
                <w:sz w:val="16"/>
              </w:rPr>
              <w:t>4</w:t>
            </w:r>
            <w:r w:rsidRPr="00286B71">
              <w:rPr>
                <w:rFonts w:eastAsia="Calibri"/>
                <w:sz w:val="16"/>
              </w:rPr>
              <w:t>-</w:t>
            </w:r>
            <w:r>
              <w:rPr>
                <w:rFonts w:eastAsia="Calibri"/>
                <w:sz w:val="16"/>
              </w:rPr>
              <w:t>5</w:t>
            </w:r>
            <w:r w:rsidRPr="00286B71">
              <w:rPr>
                <w:rFonts w:eastAsia="Calibri"/>
                <w:sz w:val="16"/>
              </w:rPr>
              <w:t>-</w:t>
            </w:r>
            <w:r>
              <w:rPr>
                <w:rFonts w:eastAsia="Calibri"/>
                <w:sz w:val="16"/>
              </w:rPr>
              <w:t>18</w:t>
            </w:r>
            <w:r w:rsidRPr="00286B71">
              <w:rPr>
                <w:rFonts w:eastAsia="Calibri"/>
                <w:sz w:val="16"/>
              </w:rPr>
              <w:t>)</w:t>
            </w:r>
            <w:r>
              <w:rPr>
                <w:rFonts w:eastAsia="Calibri"/>
                <w:sz w:val="16"/>
              </w:rPr>
              <w:t>(Rev. 2-18-25)</w:t>
            </w:r>
          </w:p>
        </w:tc>
        <w:tc>
          <w:tcPr>
            <w:tcW w:w="6210" w:type="dxa"/>
          </w:tcPr>
          <w:p w14:paraId="6C6E52C8" w14:textId="7DB46719" w:rsidR="00B2162B" w:rsidRPr="00286B71" w:rsidRDefault="00B2162B" w:rsidP="003B5DDE">
            <w:pPr>
              <w:keepNext/>
              <w:keepLines/>
              <w:jc w:val="center"/>
              <w:rPr>
                <w:rFonts w:eastAsia="Calibri"/>
                <w:sz w:val="16"/>
              </w:rPr>
            </w:pPr>
            <w:r>
              <w:rPr>
                <w:rFonts w:eastAsia="Calibri"/>
                <w:sz w:val="16"/>
              </w:rPr>
              <w:t>609, 610</w:t>
            </w:r>
          </w:p>
        </w:tc>
        <w:tc>
          <w:tcPr>
            <w:tcW w:w="1170" w:type="dxa"/>
          </w:tcPr>
          <w:p w14:paraId="5F6AA137" w14:textId="77777777" w:rsidR="00B2162B" w:rsidRPr="00286B71" w:rsidRDefault="00B2162B" w:rsidP="003B5DDE">
            <w:pPr>
              <w:keepNext/>
              <w:keepLines/>
              <w:jc w:val="right"/>
              <w:rPr>
                <w:rFonts w:eastAsia="Calibri"/>
                <w:sz w:val="16"/>
              </w:rPr>
            </w:pPr>
            <w:r>
              <w:rPr>
                <w:rFonts w:eastAsia="Calibri"/>
                <w:sz w:val="16"/>
              </w:rPr>
              <w:t>SPI 6-09</w:t>
            </w:r>
          </w:p>
        </w:tc>
      </w:tr>
      <w:bookmarkEnd w:id="0"/>
    </w:tbl>
    <w:p w14:paraId="1D9D2CA0" w14:textId="77777777" w:rsidR="00B2162B" w:rsidRDefault="00B2162B" w:rsidP="000B38A4">
      <w:pPr>
        <w:keepNext/>
        <w:keepLines/>
        <w:rPr>
          <w:b/>
        </w:rPr>
      </w:pPr>
    </w:p>
    <w:p w14:paraId="6E47D1BE" w14:textId="04A3DE8B" w:rsidR="00AE2DF0" w:rsidRDefault="00AE2DF0" w:rsidP="000B38A4">
      <w:pPr>
        <w:keepNext/>
        <w:keepLines/>
        <w:rPr>
          <w:b/>
        </w:rPr>
      </w:pPr>
      <w:r>
        <w:rPr>
          <w:b/>
        </w:rPr>
        <w:t>Description</w:t>
      </w:r>
    </w:p>
    <w:p w14:paraId="6E47D1BF" w14:textId="77777777" w:rsidR="00AE2DF0" w:rsidRDefault="00AE2DF0" w:rsidP="00AE2DF0">
      <w:pPr>
        <w:keepNext/>
        <w:keepLines/>
      </w:pPr>
    </w:p>
    <w:p w14:paraId="3FA32197" w14:textId="71227428" w:rsidR="004D639A" w:rsidRDefault="004D639A" w:rsidP="00AE2DF0">
      <w:pPr>
        <w:jc w:val="both"/>
      </w:pPr>
      <w:r>
        <w:t xml:space="preserve">Perform the work </w:t>
      </w:r>
      <w:r w:rsidR="009B42AC">
        <w:t xml:space="preserve">in accordance with Section 610 of the </w:t>
      </w:r>
      <w:r w:rsidR="009B42AC" w:rsidRPr="001C03DC">
        <w:rPr>
          <w:i/>
          <w:iCs/>
        </w:rPr>
        <w:t>Standard Specifications</w:t>
      </w:r>
      <w:r w:rsidR="009B42AC">
        <w:t xml:space="preserve"> and </w:t>
      </w:r>
      <w:r>
        <w:t xml:space="preserve">this provision including, but not limited to, </w:t>
      </w:r>
      <w:r w:rsidR="009202B1">
        <w:t xml:space="preserve">producing, loading, and </w:t>
      </w:r>
      <w:r w:rsidR="006C28E2">
        <w:t xml:space="preserve">weighing </w:t>
      </w:r>
      <w:r>
        <w:t xml:space="preserve">plant mixed </w:t>
      </w:r>
      <w:r w:rsidR="00D907AC">
        <w:t xml:space="preserve">cold </w:t>
      </w:r>
      <w:r w:rsidR="00C30808">
        <w:t>patch asphalt</w:t>
      </w:r>
      <w:r w:rsidR="00D907AC">
        <w:t xml:space="preserve"> for use on maintenance patch work.  </w:t>
      </w:r>
      <w:r w:rsidR="009202B1">
        <w:t>This work includes f</w:t>
      </w:r>
      <w:r>
        <w:t>urnish</w:t>
      </w:r>
      <w:r w:rsidR="006C28E2">
        <w:t>ing</w:t>
      </w:r>
      <w:r>
        <w:t xml:space="preserve"> aggregate, asphalt binder</w:t>
      </w:r>
      <w:r w:rsidR="00CB08A5">
        <w:t xml:space="preserve">, </w:t>
      </w:r>
      <w:r>
        <w:t xml:space="preserve">additives and all other materials for the </w:t>
      </w:r>
      <w:r w:rsidR="00CB08A5">
        <w:t>plant</w:t>
      </w:r>
      <w:r w:rsidR="00C30808">
        <w:t xml:space="preserve"> produced cold patch asphalt</w:t>
      </w:r>
      <w:r w:rsidR="00CB08A5">
        <w:t>;</w:t>
      </w:r>
      <w:r>
        <w:t xml:space="preserve"> </w:t>
      </w:r>
      <w:r w:rsidR="00CB08A5">
        <w:t>loading the materials into transport vehicles; furnishing scales</w:t>
      </w:r>
      <w:r w:rsidR="006C28E2">
        <w:t xml:space="preserve"> and weighing</w:t>
      </w:r>
      <w:r w:rsidR="00CB08A5">
        <w:t xml:space="preserve">; providing and conducting QC testing as specified in Section 609 of the </w:t>
      </w:r>
      <w:r w:rsidR="00CB08A5" w:rsidRPr="001C03DC">
        <w:rPr>
          <w:i/>
          <w:iCs/>
        </w:rPr>
        <w:t>Standard Specifications</w:t>
      </w:r>
      <w:r w:rsidR="00CB08A5">
        <w:t>.</w:t>
      </w:r>
    </w:p>
    <w:p w14:paraId="414F4129" w14:textId="77777777" w:rsidR="004D639A" w:rsidRDefault="004D639A" w:rsidP="00AE2DF0">
      <w:pPr>
        <w:jc w:val="both"/>
      </w:pPr>
    </w:p>
    <w:p w14:paraId="6E47D1C0" w14:textId="0FB417CF" w:rsidR="00AE2DF0" w:rsidRDefault="00D907AC" w:rsidP="00AE2DF0">
      <w:pPr>
        <w:jc w:val="both"/>
      </w:pPr>
      <w:r>
        <w:t xml:space="preserve">Compose the cold </w:t>
      </w:r>
      <w:r w:rsidR="00C30808">
        <w:t xml:space="preserve">patch asphalt </w:t>
      </w:r>
      <w:r>
        <w:t>with approved aggregates and liquid asphalt binder blended in an approved mixing plant.</w:t>
      </w:r>
    </w:p>
    <w:p w14:paraId="5FBF9B9E" w14:textId="54C1F256" w:rsidR="004D639A" w:rsidRDefault="004D639A" w:rsidP="00AE2DF0">
      <w:pPr>
        <w:jc w:val="both"/>
      </w:pPr>
    </w:p>
    <w:p w14:paraId="3EAD3916" w14:textId="6B47A90B" w:rsidR="00F30A70" w:rsidRDefault="00054042" w:rsidP="00AE2DF0">
      <w:pPr>
        <w:jc w:val="both"/>
      </w:pPr>
      <w:r>
        <w:t>Furnish</w:t>
      </w:r>
      <w:r w:rsidR="00771895">
        <w:t xml:space="preserve"> </w:t>
      </w:r>
      <w:r w:rsidR="004D639A">
        <w:t xml:space="preserve">cold </w:t>
      </w:r>
      <w:r w:rsidR="00C30808">
        <w:t>patch asphalt</w:t>
      </w:r>
      <w:r w:rsidR="004D639A">
        <w:t xml:space="preserve"> </w:t>
      </w:r>
      <w:r>
        <w:t xml:space="preserve">designed to be applied in the ambient temperature range of -15℉ to 100℉.  Furnish a mixture with satisfactory </w:t>
      </w:r>
      <w:r w:rsidR="004D639A">
        <w:t>coating</w:t>
      </w:r>
      <w:r>
        <w:t>, workability</w:t>
      </w:r>
      <w:r w:rsidR="000677C0">
        <w:t>,</w:t>
      </w:r>
      <w:r>
        <w:t xml:space="preserve"> and adhesion characteristics while functioning during cool to hot or dry to </w:t>
      </w:r>
      <w:r w:rsidR="000677C0">
        <w:t xml:space="preserve">damp </w:t>
      </w:r>
      <w:r>
        <w:t xml:space="preserve">climate conditions.  Furnish a material which </w:t>
      </w:r>
      <w:r w:rsidR="004D639A">
        <w:t>will enable a stockpile to remain pliable and workable at a temperature of -15</w:t>
      </w:r>
      <w:r>
        <w:t>℉</w:t>
      </w:r>
      <w:r w:rsidR="004D639A">
        <w:t xml:space="preserve">.  </w:t>
      </w:r>
      <w:r>
        <w:t xml:space="preserve">Furnish a cold </w:t>
      </w:r>
      <w:r w:rsidR="00C30808">
        <w:t>patch asphalt</w:t>
      </w:r>
      <w:r>
        <w:t xml:space="preserve">  capable of maintaining adhesive qualities in patched areas which are damp at time of application, </w:t>
      </w:r>
      <w:r w:rsidR="006C28E2">
        <w:t>and</w:t>
      </w:r>
      <w:r>
        <w:t xml:space="preserve"> after remaining in an </w:t>
      </w:r>
      <w:r w:rsidR="00AA0B46">
        <w:t xml:space="preserve">uncovered stockpile </w:t>
      </w:r>
      <w:r w:rsidR="00AA0B46" w:rsidRPr="00F457F4">
        <w:t>containing a minimum of 60 tons</w:t>
      </w:r>
      <w:r w:rsidR="00AA0B46" w:rsidRPr="001C03DC">
        <w:t xml:space="preserve"> for up to </w:t>
      </w:r>
      <w:r w:rsidR="00AA0B46" w:rsidRPr="00F457F4">
        <w:t>6</w:t>
      </w:r>
      <w:r w:rsidR="00AA0B46">
        <w:t xml:space="preserve"> months.</w:t>
      </w:r>
      <w:r w:rsidR="004D639A">
        <w:t xml:space="preserve"> </w:t>
      </w:r>
      <w:r>
        <w:t xml:space="preserve"> Once in place and compacted, the cold </w:t>
      </w:r>
      <w:r w:rsidR="009B42AC">
        <w:t>patch asphalt</w:t>
      </w:r>
      <w:r>
        <w:t xml:space="preserve"> should be unaffected by changes in weather conditions.</w:t>
      </w:r>
    </w:p>
    <w:p w14:paraId="2C6E3AC3" w14:textId="77777777" w:rsidR="00F30A70" w:rsidRDefault="00F30A70" w:rsidP="00AE2DF0">
      <w:pPr>
        <w:jc w:val="both"/>
      </w:pPr>
    </w:p>
    <w:p w14:paraId="6E47D1C2" w14:textId="77777777" w:rsidR="00AE2DF0" w:rsidRDefault="00AE2DF0" w:rsidP="00AE2DF0">
      <w:pPr>
        <w:jc w:val="both"/>
        <w:rPr>
          <w:b/>
        </w:rPr>
      </w:pPr>
      <w:r>
        <w:rPr>
          <w:b/>
        </w:rPr>
        <w:t>Materials</w:t>
      </w:r>
    </w:p>
    <w:p w14:paraId="6E47D1C3" w14:textId="77777777" w:rsidR="00AE2DF0" w:rsidRDefault="00AE2DF0" w:rsidP="00AE2DF0">
      <w:pPr>
        <w:jc w:val="both"/>
      </w:pPr>
    </w:p>
    <w:p w14:paraId="32B6DA9F" w14:textId="0A6F9EEE" w:rsidR="00CB08A5" w:rsidRDefault="00CB08A5" w:rsidP="00AE2DF0">
      <w:pPr>
        <w:jc w:val="both"/>
      </w:pPr>
      <w:r>
        <w:t>Refer to Division 10</w:t>
      </w:r>
      <w:r w:rsidR="0071289B">
        <w:t xml:space="preserve"> of the </w:t>
      </w:r>
      <w:r w:rsidR="0071289B" w:rsidRPr="0071289B">
        <w:rPr>
          <w:i/>
          <w:iCs/>
        </w:rPr>
        <w:t>Standard Specifications</w:t>
      </w:r>
      <w:r>
        <w:t>.</w:t>
      </w:r>
    </w:p>
    <w:p w14:paraId="5B32BBF5" w14:textId="1B50D3F0" w:rsidR="00CB08A5" w:rsidRDefault="00CB08A5" w:rsidP="006D03A1">
      <w:pPr>
        <w:keepNext/>
        <w:keepLines/>
        <w:jc w:val="both"/>
      </w:pPr>
    </w:p>
    <w:tbl>
      <w:tblPr>
        <w:tblW w:w="9468" w:type="dxa"/>
        <w:tblLayout w:type="fixed"/>
        <w:tblLook w:val="0000" w:firstRow="0" w:lastRow="0" w:firstColumn="0" w:lastColumn="0" w:noHBand="0" w:noVBand="0"/>
      </w:tblPr>
      <w:tblGrid>
        <w:gridCol w:w="7398"/>
        <w:gridCol w:w="2070"/>
      </w:tblGrid>
      <w:tr w:rsidR="00B2162B" w:rsidRPr="00C25C8F" w14:paraId="62E11974" w14:textId="77777777" w:rsidTr="003B5DDE">
        <w:tc>
          <w:tcPr>
            <w:tcW w:w="7398" w:type="dxa"/>
          </w:tcPr>
          <w:p w14:paraId="38B7D45F" w14:textId="77777777" w:rsidR="00B2162B" w:rsidRPr="00C25C8F" w:rsidRDefault="00B2162B" w:rsidP="006D03A1">
            <w:pPr>
              <w:keepNext/>
              <w:keepLines/>
              <w:rPr>
                <w:szCs w:val="24"/>
              </w:rPr>
            </w:pPr>
            <w:r w:rsidRPr="00C25C8F">
              <w:rPr>
                <w:b/>
                <w:szCs w:val="24"/>
              </w:rPr>
              <w:t>Item</w:t>
            </w:r>
          </w:p>
        </w:tc>
        <w:tc>
          <w:tcPr>
            <w:tcW w:w="2070" w:type="dxa"/>
          </w:tcPr>
          <w:p w14:paraId="7F5B0BD0" w14:textId="77777777" w:rsidR="00B2162B" w:rsidRPr="00C25C8F" w:rsidRDefault="00B2162B" w:rsidP="006D03A1">
            <w:pPr>
              <w:keepNext/>
              <w:keepLines/>
              <w:rPr>
                <w:b/>
                <w:szCs w:val="24"/>
              </w:rPr>
            </w:pPr>
            <w:r w:rsidRPr="00C25C8F">
              <w:rPr>
                <w:b/>
                <w:szCs w:val="24"/>
              </w:rPr>
              <w:t>Section</w:t>
            </w:r>
          </w:p>
        </w:tc>
      </w:tr>
      <w:tr w:rsidR="00B2162B" w:rsidRPr="00C25C8F" w14:paraId="0E042131" w14:textId="77777777" w:rsidTr="003B5DDE">
        <w:tc>
          <w:tcPr>
            <w:tcW w:w="7398" w:type="dxa"/>
          </w:tcPr>
          <w:p w14:paraId="709A70BF" w14:textId="77777777" w:rsidR="00B2162B" w:rsidRDefault="00B2162B" w:rsidP="006D03A1">
            <w:pPr>
              <w:keepNext/>
              <w:keepLines/>
              <w:rPr>
                <w:szCs w:val="24"/>
              </w:rPr>
            </w:pPr>
            <w:r>
              <w:rPr>
                <w:szCs w:val="24"/>
              </w:rPr>
              <w:t>Anti-strip Additives</w:t>
            </w:r>
          </w:p>
          <w:p w14:paraId="6FE44805" w14:textId="77777777" w:rsidR="00B2162B" w:rsidRDefault="00B2162B" w:rsidP="006D03A1">
            <w:pPr>
              <w:keepNext/>
              <w:keepLines/>
              <w:rPr>
                <w:szCs w:val="24"/>
              </w:rPr>
            </w:pPr>
            <w:r>
              <w:rPr>
                <w:szCs w:val="24"/>
              </w:rPr>
              <w:t>Asphalt Binder, Performance Grade</w:t>
            </w:r>
          </w:p>
          <w:p w14:paraId="23ABD2BE" w14:textId="77777777" w:rsidR="00B2162B" w:rsidRPr="00C25C8F" w:rsidRDefault="00B2162B" w:rsidP="006D03A1">
            <w:pPr>
              <w:keepNext/>
              <w:keepLines/>
              <w:rPr>
                <w:szCs w:val="24"/>
              </w:rPr>
            </w:pPr>
            <w:r>
              <w:rPr>
                <w:szCs w:val="24"/>
              </w:rPr>
              <w:t>Coarse Aggregate</w:t>
            </w:r>
          </w:p>
        </w:tc>
        <w:tc>
          <w:tcPr>
            <w:tcW w:w="2070" w:type="dxa"/>
          </w:tcPr>
          <w:p w14:paraId="11C07E4B" w14:textId="77777777" w:rsidR="00B2162B" w:rsidRDefault="00B2162B" w:rsidP="006D03A1">
            <w:pPr>
              <w:keepNext/>
              <w:keepLines/>
              <w:rPr>
                <w:szCs w:val="24"/>
              </w:rPr>
            </w:pPr>
            <w:r>
              <w:rPr>
                <w:szCs w:val="24"/>
              </w:rPr>
              <w:t>1020-8</w:t>
            </w:r>
          </w:p>
          <w:p w14:paraId="20B9D0B9" w14:textId="77777777" w:rsidR="00B2162B" w:rsidRDefault="00B2162B" w:rsidP="006D03A1">
            <w:pPr>
              <w:keepNext/>
              <w:keepLines/>
              <w:rPr>
                <w:szCs w:val="24"/>
              </w:rPr>
            </w:pPr>
            <w:r>
              <w:rPr>
                <w:szCs w:val="24"/>
              </w:rPr>
              <w:t>1020-2</w:t>
            </w:r>
          </w:p>
          <w:p w14:paraId="13891C01" w14:textId="77777777" w:rsidR="00B2162B" w:rsidRPr="00C25C8F" w:rsidRDefault="00B2162B" w:rsidP="006D03A1">
            <w:pPr>
              <w:keepNext/>
              <w:keepLines/>
              <w:rPr>
                <w:szCs w:val="24"/>
              </w:rPr>
            </w:pPr>
            <w:r w:rsidRPr="005879E7">
              <w:rPr>
                <w:szCs w:val="24"/>
              </w:rPr>
              <w:t>10</w:t>
            </w:r>
            <w:r>
              <w:rPr>
                <w:szCs w:val="24"/>
              </w:rPr>
              <w:t>12</w:t>
            </w:r>
            <w:r w:rsidRPr="005879E7">
              <w:rPr>
                <w:szCs w:val="24"/>
              </w:rPr>
              <w:t>-</w:t>
            </w:r>
            <w:r>
              <w:rPr>
                <w:szCs w:val="24"/>
              </w:rPr>
              <w:t>1(B)</w:t>
            </w:r>
          </w:p>
        </w:tc>
      </w:tr>
      <w:tr w:rsidR="00B2162B" w:rsidRPr="00C25C8F" w14:paraId="58D4AACF" w14:textId="77777777" w:rsidTr="003B5DDE">
        <w:tc>
          <w:tcPr>
            <w:tcW w:w="7398" w:type="dxa"/>
          </w:tcPr>
          <w:p w14:paraId="4F7A0B93" w14:textId="77777777" w:rsidR="00B2162B" w:rsidRDefault="00B2162B" w:rsidP="006D03A1">
            <w:pPr>
              <w:keepNext/>
              <w:keepLines/>
              <w:rPr>
                <w:szCs w:val="24"/>
              </w:rPr>
            </w:pPr>
            <w:r>
              <w:rPr>
                <w:szCs w:val="24"/>
              </w:rPr>
              <w:t>Fine Aggregate</w:t>
            </w:r>
          </w:p>
        </w:tc>
        <w:tc>
          <w:tcPr>
            <w:tcW w:w="2070" w:type="dxa"/>
          </w:tcPr>
          <w:p w14:paraId="181AD7C7" w14:textId="77777777" w:rsidR="00B2162B" w:rsidRDefault="00B2162B" w:rsidP="006D03A1">
            <w:pPr>
              <w:keepNext/>
              <w:keepLines/>
              <w:rPr>
                <w:szCs w:val="24"/>
              </w:rPr>
            </w:pPr>
            <w:r>
              <w:rPr>
                <w:szCs w:val="24"/>
              </w:rPr>
              <w:t>1012-1(C)</w:t>
            </w:r>
          </w:p>
        </w:tc>
      </w:tr>
      <w:tr w:rsidR="00B2162B" w:rsidRPr="00C25C8F" w14:paraId="283F42B2" w14:textId="77777777" w:rsidTr="003B5DDE">
        <w:tc>
          <w:tcPr>
            <w:tcW w:w="7398" w:type="dxa"/>
          </w:tcPr>
          <w:p w14:paraId="71A9A5E8" w14:textId="77777777" w:rsidR="00B2162B" w:rsidRDefault="00B2162B" w:rsidP="006D03A1">
            <w:pPr>
              <w:keepNext/>
              <w:keepLines/>
              <w:rPr>
                <w:szCs w:val="24"/>
              </w:rPr>
            </w:pPr>
            <w:r>
              <w:rPr>
                <w:szCs w:val="24"/>
              </w:rPr>
              <w:t>Mineral Filler</w:t>
            </w:r>
          </w:p>
        </w:tc>
        <w:tc>
          <w:tcPr>
            <w:tcW w:w="2070" w:type="dxa"/>
          </w:tcPr>
          <w:p w14:paraId="144EA5E7" w14:textId="77777777" w:rsidR="00B2162B" w:rsidRDefault="00B2162B" w:rsidP="006D03A1">
            <w:pPr>
              <w:keepNext/>
              <w:keepLines/>
              <w:rPr>
                <w:szCs w:val="24"/>
              </w:rPr>
            </w:pPr>
            <w:r>
              <w:rPr>
                <w:szCs w:val="24"/>
              </w:rPr>
              <w:t>1012-1(D)</w:t>
            </w:r>
          </w:p>
        </w:tc>
      </w:tr>
      <w:tr w:rsidR="00B2162B" w:rsidRPr="00C25C8F" w14:paraId="0DB8B063" w14:textId="0BE57B54" w:rsidTr="003B5DDE">
        <w:tc>
          <w:tcPr>
            <w:tcW w:w="7398" w:type="dxa"/>
          </w:tcPr>
          <w:p w14:paraId="1DEE6DD9" w14:textId="335021B9" w:rsidR="00B2162B" w:rsidRDefault="00B2162B" w:rsidP="006D03A1">
            <w:pPr>
              <w:keepNext/>
              <w:keepLines/>
              <w:rPr>
                <w:szCs w:val="24"/>
              </w:rPr>
            </w:pPr>
            <w:r>
              <w:rPr>
                <w:szCs w:val="24"/>
              </w:rPr>
              <w:t>Reclaimed Asphalt Pavement (RAP)</w:t>
            </w:r>
          </w:p>
        </w:tc>
        <w:tc>
          <w:tcPr>
            <w:tcW w:w="2070" w:type="dxa"/>
          </w:tcPr>
          <w:p w14:paraId="5EF8E6BC" w14:textId="0F60B3FC" w:rsidR="00B2162B" w:rsidRDefault="00B2162B" w:rsidP="006D03A1">
            <w:pPr>
              <w:keepNext/>
              <w:keepLines/>
              <w:rPr>
                <w:szCs w:val="24"/>
              </w:rPr>
            </w:pPr>
            <w:r>
              <w:rPr>
                <w:szCs w:val="24"/>
              </w:rPr>
              <w:t>1012-1(F)</w:t>
            </w:r>
          </w:p>
        </w:tc>
      </w:tr>
      <w:tr w:rsidR="00B2162B" w:rsidRPr="00C25C8F" w14:paraId="66BE94BA" w14:textId="77777777" w:rsidTr="003B5DDE">
        <w:tc>
          <w:tcPr>
            <w:tcW w:w="7398" w:type="dxa"/>
          </w:tcPr>
          <w:p w14:paraId="015383A3" w14:textId="77777777" w:rsidR="00B2162B" w:rsidRDefault="00B2162B" w:rsidP="006D03A1">
            <w:pPr>
              <w:keepNext/>
              <w:keepLines/>
              <w:rPr>
                <w:szCs w:val="24"/>
              </w:rPr>
            </w:pPr>
            <w:r>
              <w:rPr>
                <w:szCs w:val="24"/>
              </w:rPr>
              <w:t>Silicone</w:t>
            </w:r>
          </w:p>
        </w:tc>
        <w:tc>
          <w:tcPr>
            <w:tcW w:w="2070" w:type="dxa"/>
          </w:tcPr>
          <w:p w14:paraId="7BEDA422" w14:textId="77777777" w:rsidR="00B2162B" w:rsidRDefault="00B2162B" w:rsidP="006D03A1">
            <w:pPr>
              <w:keepNext/>
              <w:keepLines/>
              <w:rPr>
                <w:szCs w:val="24"/>
              </w:rPr>
            </w:pPr>
            <w:r>
              <w:rPr>
                <w:szCs w:val="24"/>
              </w:rPr>
              <w:t>1020-9</w:t>
            </w:r>
          </w:p>
        </w:tc>
      </w:tr>
    </w:tbl>
    <w:p w14:paraId="70E0C1F1" w14:textId="77777777" w:rsidR="00B2162B" w:rsidRDefault="00B2162B" w:rsidP="00AE2DF0">
      <w:pPr>
        <w:jc w:val="both"/>
        <w:rPr>
          <w:b/>
          <w:bCs/>
        </w:rPr>
      </w:pPr>
    </w:p>
    <w:p w14:paraId="6E47D1C4" w14:textId="66D76CE5" w:rsidR="00AE2DF0" w:rsidRDefault="00E447DB" w:rsidP="00AE2DF0">
      <w:pPr>
        <w:jc w:val="both"/>
      </w:pPr>
      <w:r>
        <w:t xml:space="preserve">The liquid asphalt component used shall be PG 64-22 </w:t>
      </w:r>
      <w:r w:rsidR="006C28E2">
        <w:t>conforming</w:t>
      </w:r>
      <w:r>
        <w:t xml:space="preserve"> to the </w:t>
      </w:r>
      <w:r w:rsidR="006C28E2">
        <w:t>specifications</w:t>
      </w:r>
      <w:r>
        <w:t xml:space="preserve"> of the North Carolina Department of Transportation, a diluent which complies with the requirements and applicable specifications of the </w:t>
      </w:r>
      <w:r w:rsidR="006C28E2">
        <w:t>American</w:t>
      </w:r>
      <w:r>
        <w:t xml:space="preserve"> </w:t>
      </w:r>
      <w:r w:rsidR="006C28E2">
        <w:t>Petroleum</w:t>
      </w:r>
      <w:r>
        <w:t xml:space="preserve"> Institute (API), and a polymer additive of high quality that improves cohesion and adhesion properties and is capable of passing AASHTO T</w:t>
      </w:r>
      <w:r w:rsidR="00F72E1B">
        <w:t xml:space="preserve"> </w:t>
      </w:r>
      <w:r>
        <w:t>182 as modified herein.</w:t>
      </w:r>
    </w:p>
    <w:p w14:paraId="42DD5DC5" w14:textId="77777777" w:rsidR="00220DB8" w:rsidRDefault="00220DB8" w:rsidP="00AE2DF0">
      <w:pPr>
        <w:jc w:val="both"/>
      </w:pPr>
    </w:p>
    <w:p w14:paraId="0DAB4DBB" w14:textId="536EE613" w:rsidR="00220DB8" w:rsidRDefault="00220DB8" w:rsidP="00AE2DF0">
      <w:pPr>
        <w:jc w:val="both"/>
      </w:pPr>
      <w:r>
        <w:t>Use material listed on the NCDOT APL or material approved by the Engineer.</w:t>
      </w:r>
    </w:p>
    <w:p w14:paraId="6E47D1C5" w14:textId="77777777" w:rsidR="00AE2DF0" w:rsidRDefault="00AE2DF0" w:rsidP="00AE2DF0">
      <w:pPr>
        <w:jc w:val="both"/>
        <w:rPr>
          <w:b/>
        </w:rPr>
      </w:pPr>
    </w:p>
    <w:p w14:paraId="6E47D1C6" w14:textId="10CCFA3E" w:rsidR="00AE2DF0" w:rsidRDefault="00AE2DF0" w:rsidP="006D03A1">
      <w:pPr>
        <w:keepNext/>
        <w:keepLines/>
        <w:jc w:val="both"/>
        <w:rPr>
          <w:b/>
        </w:rPr>
      </w:pPr>
      <w:r>
        <w:rPr>
          <w:b/>
        </w:rPr>
        <w:lastRenderedPageBreak/>
        <w:t>Co</w:t>
      </w:r>
      <w:r w:rsidR="00E447DB">
        <w:rPr>
          <w:b/>
        </w:rPr>
        <w:t>mposition of Mixture</w:t>
      </w:r>
    </w:p>
    <w:p w14:paraId="6E47D1C7" w14:textId="77777777" w:rsidR="00AE2DF0" w:rsidRDefault="00AE2DF0" w:rsidP="006D03A1">
      <w:pPr>
        <w:keepNext/>
        <w:keepLines/>
      </w:pPr>
    </w:p>
    <w:p w14:paraId="04D0969E" w14:textId="218F1A48" w:rsidR="00E447DB" w:rsidRDefault="00BD1842" w:rsidP="006D03A1">
      <w:pPr>
        <w:keepNext/>
        <w:keepLines/>
        <w:jc w:val="both"/>
      </w:pPr>
      <w:r>
        <w:t>The mixture shall consist of an aggregate and asphalt binder combined in an asphalt plant in the following proportions:</w:t>
      </w:r>
    </w:p>
    <w:p w14:paraId="09F000CB" w14:textId="77777777" w:rsidR="00BD1842" w:rsidRDefault="00BD1842" w:rsidP="006D03A1">
      <w:pPr>
        <w:keepNext/>
        <w:keepLines/>
        <w:jc w:val="both"/>
      </w:pPr>
    </w:p>
    <w:tbl>
      <w:tblPr>
        <w:tblStyle w:val="TableGrid"/>
        <w:tblW w:w="0" w:type="auto"/>
        <w:jc w:val="center"/>
        <w:tblLook w:val="04A0" w:firstRow="1" w:lastRow="0" w:firstColumn="1" w:lastColumn="0" w:noHBand="0" w:noVBand="1"/>
      </w:tblPr>
      <w:tblGrid>
        <w:gridCol w:w="3597"/>
        <w:gridCol w:w="3598"/>
      </w:tblGrid>
      <w:tr w:rsidR="00BD1842" w14:paraId="1F4AFA29" w14:textId="77777777" w:rsidTr="00C10EEC">
        <w:trPr>
          <w:jc w:val="center"/>
        </w:trPr>
        <w:tc>
          <w:tcPr>
            <w:tcW w:w="3597" w:type="dxa"/>
          </w:tcPr>
          <w:p w14:paraId="0015244F" w14:textId="0117C6F1" w:rsidR="00BD1842" w:rsidRDefault="00BD1842" w:rsidP="006D03A1">
            <w:pPr>
              <w:keepNext/>
              <w:keepLines/>
              <w:jc w:val="center"/>
            </w:pPr>
            <w:r>
              <w:t>Total Binder Content</w:t>
            </w:r>
          </w:p>
        </w:tc>
        <w:tc>
          <w:tcPr>
            <w:tcW w:w="3598" w:type="dxa"/>
          </w:tcPr>
          <w:p w14:paraId="461E9BC7" w14:textId="70449E31" w:rsidR="00BD1842" w:rsidRDefault="00BD1842" w:rsidP="006D03A1">
            <w:pPr>
              <w:keepNext/>
              <w:keepLines/>
              <w:jc w:val="center"/>
            </w:pPr>
            <w:r>
              <w:t>3.0 – 7.0 %</w:t>
            </w:r>
          </w:p>
        </w:tc>
      </w:tr>
      <w:tr w:rsidR="00BD1842" w14:paraId="570BE8BA" w14:textId="77777777" w:rsidTr="00C10EEC">
        <w:trPr>
          <w:jc w:val="center"/>
        </w:trPr>
        <w:tc>
          <w:tcPr>
            <w:tcW w:w="3597" w:type="dxa"/>
          </w:tcPr>
          <w:p w14:paraId="1A6BC858" w14:textId="1375B829" w:rsidR="00BD1842" w:rsidRDefault="00BD1842" w:rsidP="006D03A1">
            <w:pPr>
              <w:keepNext/>
              <w:keepLines/>
              <w:jc w:val="center"/>
            </w:pPr>
            <w:r>
              <w:t>Total Aggregate Content</w:t>
            </w:r>
          </w:p>
        </w:tc>
        <w:tc>
          <w:tcPr>
            <w:tcW w:w="3598" w:type="dxa"/>
          </w:tcPr>
          <w:p w14:paraId="33F19C74" w14:textId="39D185F0" w:rsidR="00BD1842" w:rsidRDefault="00BD1842" w:rsidP="006D03A1">
            <w:pPr>
              <w:keepNext/>
              <w:keepLines/>
              <w:jc w:val="center"/>
            </w:pPr>
            <w:r>
              <w:t>93 – 97 %</w:t>
            </w:r>
          </w:p>
        </w:tc>
      </w:tr>
    </w:tbl>
    <w:p w14:paraId="5FFD0608" w14:textId="77777777" w:rsidR="00BD1842" w:rsidRDefault="00BD1842" w:rsidP="006D03A1">
      <w:pPr>
        <w:keepNext/>
        <w:keepLine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880"/>
      </w:tblGrid>
      <w:tr w:rsidR="00E447DB" w14:paraId="766E3FEB" w14:textId="77777777" w:rsidTr="00EE33FE">
        <w:trPr>
          <w:cantSplit/>
          <w:jc w:val="center"/>
        </w:trPr>
        <w:tc>
          <w:tcPr>
            <w:tcW w:w="5760" w:type="dxa"/>
            <w:gridSpan w:val="2"/>
            <w:tcBorders>
              <w:bottom w:val="nil"/>
            </w:tcBorders>
            <w:vAlign w:val="center"/>
          </w:tcPr>
          <w:p w14:paraId="3C581A98" w14:textId="717980A7" w:rsidR="00E447DB" w:rsidRDefault="003A466E" w:rsidP="006D03A1">
            <w:pPr>
              <w:pStyle w:val="Heading2"/>
              <w:jc w:val="center"/>
              <w:rPr>
                <w:u w:val="none"/>
              </w:rPr>
            </w:pPr>
            <w:r>
              <w:rPr>
                <w:u w:val="none"/>
              </w:rPr>
              <w:t>ASPHALT</w:t>
            </w:r>
            <w:r w:rsidR="00A13A48">
              <w:rPr>
                <w:u w:val="none"/>
              </w:rPr>
              <w:t xml:space="preserve"> COLD PATCH</w:t>
            </w:r>
          </w:p>
          <w:p w14:paraId="3DFEE399" w14:textId="5D498359" w:rsidR="003A466E" w:rsidRPr="006D03A1" w:rsidRDefault="003A466E" w:rsidP="006D03A1">
            <w:pPr>
              <w:keepNext/>
              <w:keepLines/>
              <w:jc w:val="center"/>
              <w:rPr>
                <w:b/>
                <w:bCs/>
              </w:rPr>
            </w:pPr>
            <w:r w:rsidRPr="006D03A1">
              <w:rPr>
                <w:b/>
                <w:bCs/>
              </w:rPr>
              <w:t>GRADATION CRITERIA</w:t>
            </w:r>
          </w:p>
        </w:tc>
      </w:tr>
      <w:tr w:rsidR="00E447DB" w14:paraId="6D876A68" w14:textId="77777777" w:rsidTr="00EE33FE">
        <w:trPr>
          <w:jc w:val="center"/>
        </w:trPr>
        <w:tc>
          <w:tcPr>
            <w:tcW w:w="2880" w:type="dxa"/>
            <w:vAlign w:val="center"/>
          </w:tcPr>
          <w:p w14:paraId="0C18D796" w14:textId="13200C38" w:rsidR="00E447DB" w:rsidRPr="006D03A1" w:rsidRDefault="00A13A48" w:rsidP="006D03A1">
            <w:pPr>
              <w:keepNext/>
              <w:keepLines/>
              <w:jc w:val="center"/>
              <w:rPr>
                <w:b/>
                <w:bCs/>
              </w:rPr>
            </w:pPr>
            <w:r w:rsidRPr="006D03A1">
              <w:rPr>
                <w:b/>
                <w:bCs/>
              </w:rPr>
              <w:t xml:space="preserve">Standard </w:t>
            </w:r>
            <w:r w:rsidR="00E447DB" w:rsidRPr="006D03A1">
              <w:rPr>
                <w:b/>
                <w:bCs/>
              </w:rPr>
              <w:t>Sieve</w:t>
            </w:r>
            <w:r w:rsidR="003A466E" w:rsidRPr="006D03A1">
              <w:rPr>
                <w:b/>
                <w:bCs/>
              </w:rPr>
              <w:t xml:space="preserve"> (mm)</w:t>
            </w:r>
          </w:p>
        </w:tc>
        <w:tc>
          <w:tcPr>
            <w:tcW w:w="2880" w:type="dxa"/>
            <w:vAlign w:val="center"/>
          </w:tcPr>
          <w:p w14:paraId="30133FE8" w14:textId="0E8556D3" w:rsidR="00E447DB" w:rsidRPr="006D03A1" w:rsidRDefault="003A466E" w:rsidP="006D03A1">
            <w:pPr>
              <w:keepNext/>
              <w:keepLines/>
              <w:jc w:val="center"/>
              <w:rPr>
                <w:b/>
                <w:bCs/>
                <w:sz w:val="20"/>
              </w:rPr>
            </w:pPr>
            <w:r w:rsidRPr="006D03A1">
              <w:rPr>
                <w:b/>
                <w:bCs/>
              </w:rPr>
              <w:t>Total Percent Passing</w:t>
            </w:r>
          </w:p>
        </w:tc>
      </w:tr>
      <w:tr w:rsidR="00E447DB" w14:paraId="0D4DBEFE" w14:textId="77777777" w:rsidTr="00EE33FE">
        <w:trPr>
          <w:jc w:val="center"/>
        </w:trPr>
        <w:tc>
          <w:tcPr>
            <w:tcW w:w="2880" w:type="dxa"/>
            <w:vAlign w:val="center"/>
          </w:tcPr>
          <w:p w14:paraId="7F09FF24" w14:textId="1995A41B" w:rsidR="00E447DB" w:rsidRDefault="00E447DB" w:rsidP="006D03A1">
            <w:pPr>
              <w:keepNext/>
              <w:keepLines/>
              <w:jc w:val="center"/>
            </w:pPr>
            <w:r>
              <w:t>19.0</w:t>
            </w:r>
          </w:p>
        </w:tc>
        <w:tc>
          <w:tcPr>
            <w:tcW w:w="2880" w:type="dxa"/>
            <w:vAlign w:val="center"/>
          </w:tcPr>
          <w:p w14:paraId="3D8E0B21" w14:textId="77777777" w:rsidR="00E447DB" w:rsidRDefault="00E447DB" w:rsidP="006D03A1">
            <w:pPr>
              <w:keepNext/>
              <w:keepLines/>
              <w:jc w:val="center"/>
            </w:pPr>
            <w:r>
              <w:t>100</w:t>
            </w:r>
          </w:p>
        </w:tc>
      </w:tr>
      <w:tr w:rsidR="00E447DB" w14:paraId="72CA51C7" w14:textId="77777777" w:rsidTr="00EE33FE">
        <w:trPr>
          <w:jc w:val="center"/>
        </w:trPr>
        <w:tc>
          <w:tcPr>
            <w:tcW w:w="2880" w:type="dxa"/>
            <w:vAlign w:val="center"/>
          </w:tcPr>
          <w:p w14:paraId="7AA4CD1E" w14:textId="5A77996A" w:rsidR="00E447DB" w:rsidRDefault="00E447DB" w:rsidP="006D03A1">
            <w:pPr>
              <w:keepNext/>
              <w:keepLines/>
              <w:jc w:val="center"/>
            </w:pPr>
            <w:r>
              <w:t>12.5</w:t>
            </w:r>
          </w:p>
        </w:tc>
        <w:tc>
          <w:tcPr>
            <w:tcW w:w="2880" w:type="dxa"/>
            <w:vAlign w:val="center"/>
          </w:tcPr>
          <w:p w14:paraId="1F5DF69B" w14:textId="77777777" w:rsidR="00E447DB" w:rsidRDefault="00E447DB" w:rsidP="006D03A1">
            <w:pPr>
              <w:keepNext/>
              <w:keepLines/>
              <w:jc w:val="center"/>
            </w:pPr>
            <w:r>
              <w:t>94-100</w:t>
            </w:r>
          </w:p>
        </w:tc>
      </w:tr>
      <w:tr w:rsidR="00E447DB" w14:paraId="09DF8E7E" w14:textId="77777777" w:rsidTr="00EE33FE">
        <w:trPr>
          <w:jc w:val="center"/>
        </w:trPr>
        <w:tc>
          <w:tcPr>
            <w:tcW w:w="2880" w:type="dxa"/>
            <w:vAlign w:val="center"/>
          </w:tcPr>
          <w:p w14:paraId="56B02558" w14:textId="32A21CC4" w:rsidR="00E447DB" w:rsidRDefault="00E447DB" w:rsidP="006D03A1">
            <w:pPr>
              <w:keepNext/>
              <w:keepLines/>
              <w:jc w:val="center"/>
            </w:pPr>
            <w:r>
              <w:t>9.5</w:t>
            </w:r>
            <w:r w:rsidR="00A13A48">
              <w:t>0</w:t>
            </w:r>
          </w:p>
        </w:tc>
        <w:tc>
          <w:tcPr>
            <w:tcW w:w="2880" w:type="dxa"/>
            <w:vAlign w:val="center"/>
          </w:tcPr>
          <w:p w14:paraId="3E958A18" w14:textId="7D87132E" w:rsidR="00E447DB" w:rsidRDefault="003A466E" w:rsidP="006D03A1">
            <w:pPr>
              <w:keepNext/>
              <w:keepLines/>
              <w:jc w:val="center"/>
            </w:pPr>
            <w:r>
              <w:t>90</w:t>
            </w:r>
            <w:r w:rsidR="00E447DB">
              <w:t>-</w:t>
            </w:r>
            <w:r>
              <w:t>100</w:t>
            </w:r>
          </w:p>
        </w:tc>
      </w:tr>
      <w:tr w:rsidR="00E447DB" w14:paraId="4E5279F8" w14:textId="77777777" w:rsidTr="00EE33FE">
        <w:trPr>
          <w:jc w:val="center"/>
        </w:trPr>
        <w:tc>
          <w:tcPr>
            <w:tcW w:w="2880" w:type="dxa"/>
            <w:vAlign w:val="center"/>
          </w:tcPr>
          <w:p w14:paraId="606A2E18" w14:textId="0E8D8E2D" w:rsidR="00E447DB" w:rsidRDefault="00E447DB" w:rsidP="006D03A1">
            <w:pPr>
              <w:keepNext/>
              <w:keepLines/>
              <w:jc w:val="center"/>
            </w:pPr>
            <w:r>
              <w:t>4.75</w:t>
            </w:r>
          </w:p>
        </w:tc>
        <w:tc>
          <w:tcPr>
            <w:tcW w:w="2880" w:type="dxa"/>
            <w:vAlign w:val="center"/>
          </w:tcPr>
          <w:p w14:paraId="64774301" w14:textId="7678B239" w:rsidR="00E447DB" w:rsidRDefault="00E447DB" w:rsidP="006D03A1">
            <w:pPr>
              <w:keepNext/>
              <w:keepLines/>
              <w:jc w:val="center"/>
            </w:pPr>
            <w:r>
              <w:t>6</w:t>
            </w:r>
            <w:r w:rsidR="003A466E">
              <w:t>0</w:t>
            </w:r>
            <w:r>
              <w:t>-</w:t>
            </w:r>
            <w:r w:rsidR="003A466E">
              <w:t>80</w:t>
            </w:r>
          </w:p>
        </w:tc>
      </w:tr>
      <w:tr w:rsidR="00E447DB" w14:paraId="7C16EDB2" w14:textId="77777777" w:rsidTr="00EE33FE">
        <w:trPr>
          <w:jc w:val="center"/>
        </w:trPr>
        <w:tc>
          <w:tcPr>
            <w:tcW w:w="2880" w:type="dxa"/>
            <w:vAlign w:val="center"/>
          </w:tcPr>
          <w:p w14:paraId="4D1DFB8E" w14:textId="35CBF203" w:rsidR="00E447DB" w:rsidRDefault="00E447DB" w:rsidP="006D03A1">
            <w:pPr>
              <w:keepNext/>
              <w:keepLines/>
              <w:jc w:val="center"/>
            </w:pPr>
            <w:r>
              <w:t>2.36</w:t>
            </w:r>
          </w:p>
        </w:tc>
        <w:tc>
          <w:tcPr>
            <w:tcW w:w="2880" w:type="dxa"/>
            <w:vAlign w:val="center"/>
          </w:tcPr>
          <w:p w14:paraId="124855F9" w14:textId="7ACB5A92" w:rsidR="00E447DB" w:rsidRDefault="003A466E" w:rsidP="006D03A1">
            <w:pPr>
              <w:keepNext/>
              <w:keepLines/>
              <w:jc w:val="center"/>
            </w:pPr>
            <w:r>
              <w:t>30</w:t>
            </w:r>
            <w:r w:rsidR="00E447DB">
              <w:t>-5</w:t>
            </w:r>
            <w:r>
              <w:t>0</w:t>
            </w:r>
          </w:p>
        </w:tc>
      </w:tr>
      <w:tr w:rsidR="00E447DB" w14:paraId="0C5AF3DE" w14:textId="77777777" w:rsidTr="00EE33FE">
        <w:trPr>
          <w:jc w:val="center"/>
        </w:trPr>
        <w:tc>
          <w:tcPr>
            <w:tcW w:w="2880" w:type="dxa"/>
            <w:vAlign w:val="center"/>
          </w:tcPr>
          <w:p w14:paraId="16A9C75E" w14:textId="468DC952" w:rsidR="00E447DB" w:rsidRDefault="00E447DB" w:rsidP="006D03A1">
            <w:pPr>
              <w:keepNext/>
              <w:keepLines/>
              <w:jc w:val="center"/>
            </w:pPr>
            <w:r>
              <w:t>0.</w:t>
            </w:r>
            <w:r w:rsidR="00A13A48">
              <w:t>0</w:t>
            </w:r>
            <w:r>
              <w:t>75</w:t>
            </w:r>
          </w:p>
        </w:tc>
        <w:tc>
          <w:tcPr>
            <w:tcW w:w="2880" w:type="dxa"/>
            <w:vAlign w:val="center"/>
          </w:tcPr>
          <w:p w14:paraId="0A5224D0" w14:textId="564637A1" w:rsidR="00E447DB" w:rsidRDefault="00E447DB" w:rsidP="006D03A1">
            <w:pPr>
              <w:keepNext/>
              <w:keepLines/>
              <w:jc w:val="center"/>
            </w:pPr>
            <w:r>
              <w:t>1-</w:t>
            </w:r>
            <w:r w:rsidR="003A466E">
              <w:t>5</w:t>
            </w:r>
          </w:p>
        </w:tc>
      </w:tr>
    </w:tbl>
    <w:p w14:paraId="7D059FE4" w14:textId="77777777" w:rsidR="00B779B8" w:rsidRDefault="00B779B8" w:rsidP="006D03A1">
      <w:pPr>
        <w:keepNext/>
        <w:keepLines/>
        <w:ind w:left="360"/>
        <w:jc w:val="both"/>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2"/>
        <w:gridCol w:w="2715"/>
        <w:gridCol w:w="3437"/>
      </w:tblGrid>
      <w:tr w:rsidR="00936437" w14:paraId="2EE4C8EE" w14:textId="77777777" w:rsidTr="006D03A1">
        <w:trPr>
          <w:trHeight w:val="287"/>
          <w:jc w:val="center"/>
        </w:trPr>
        <w:tc>
          <w:tcPr>
            <w:tcW w:w="1506" w:type="pct"/>
          </w:tcPr>
          <w:p w14:paraId="580757C6" w14:textId="13E1CD41" w:rsidR="00936437" w:rsidRDefault="00936437" w:rsidP="006D03A1">
            <w:pPr>
              <w:keepNext/>
              <w:keepLines/>
              <w:jc w:val="center"/>
              <w:rPr>
                <w:b/>
              </w:rPr>
            </w:pPr>
            <w:r>
              <w:rPr>
                <w:b/>
              </w:rPr>
              <w:t>TEST</w:t>
            </w:r>
          </w:p>
        </w:tc>
        <w:tc>
          <w:tcPr>
            <w:tcW w:w="1542" w:type="pct"/>
            <w:shd w:val="clear" w:color="auto" w:fill="auto"/>
          </w:tcPr>
          <w:p w14:paraId="3CF124E0" w14:textId="588BE4B1" w:rsidR="00936437" w:rsidRDefault="00936437" w:rsidP="006D03A1">
            <w:pPr>
              <w:keepNext/>
              <w:keepLines/>
              <w:jc w:val="center"/>
              <w:rPr>
                <w:b/>
              </w:rPr>
            </w:pPr>
            <w:r>
              <w:rPr>
                <w:b/>
              </w:rPr>
              <w:t>METHOD</w:t>
            </w:r>
          </w:p>
        </w:tc>
        <w:tc>
          <w:tcPr>
            <w:tcW w:w="1952" w:type="pct"/>
            <w:shd w:val="clear" w:color="auto" w:fill="auto"/>
          </w:tcPr>
          <w:p w14:paraId="1A36443E" w14:textId="09D14F58" w:rsidR="00936437" w:rsidRDefault="00936437" w:rsidP="006D03A1">
            <w:pPr>
              <w:keepNext/>
              <w:keepLines/>
              <w:jc w:val="center"/>
              <w:rPr>
                <w:b/>
              </w:rPr>
            </w:pPr>
            <w:r>
              <w:rPr>
                <w:b/>
              </w:rPr>
              <w:t>SPECIFICATION</w:t>
            </w:r>
          </w:p>
        </w:tc>
      </w:tr>
      <w:tr w:rsidR="00936437" w14:paraId="18E90F9D" w14:textId="77777777" w:rsidTr="00F457F4">
        <w:trPr>
          <w:trHeight w:val="287"/>
          <w:jc w:val="center"/>
        </w:trPr>
        <w:tc>
          <w:tcPr>
            <w:tcW w:w="1506" w:type="pct"/>
          </w:tcPr>
          <w:p w14:paraId="19FD141A" w14:textId="50E63BC6" w:rsidR="00936437" w:rsidRPr="00A2593F" w:rsidRDefault="0057062B" w:rsidP="006D03A1">
            <w:pPr>
              <w:keepNext/>
              <w:keepLines/>
              <w:jc w:val="center"/>
              <w:rPr>
                <w:szCs w:val="24"/>
              </w:rPr>
            </w:pPr>
            <w:r>
              <w:rPr>
                <w:szCs w:val="24"/>
              </w:rPr>
              <w:t xml:space="preserve">Recovered </w:t>
            </w:r>
            <w:r w:rsidR="00936437" w:rsidRPr="00A2593F">
              <w:rPr>
                <w:szCs w:val="24"/>
              </w:rPr>
              <w:t>Aggregate Gradation</w:t>
            </w:r>
          </w:p>
        </w:tc>
        <w:tc>
          <w:tcPr>
            <w:tcW w:w="1542" w:type="pct"/>
            <w:shd w:val="clear" w:color="auto" w:fill="auto"/>
          </w:tcPr>
          <w:p w14:paraId="1CF8E16B" w14:textId="0900B421" w:rsidR="00936437" w:rsidRPr="00A2593F" w:rsidRDefault="00936437" w:rsidP="006D03A1">
            <w:pPr>
              <w:keepNext/>
              <w:keepLines/>
              <w:jc w:val="center"/>
              <w:rPr>
                <w:szCs w:val="24"/>
              </w:rPr>
            </w:pPr>
            <w:r w:rsidRPr="00A2593F">
              <w:rPr>
                <w:szCs w:val="24"/>
              </w:rPr>
              <w:t>AASHTO T</w:t>
            </w:r>
            <w:r w:rsidR="00606717">
              <w:rPr>
                <w:szCs w:val="24"/>
              </w:rPr>
              <w:t xml:space="preserve"> </w:t>
            </w:r>
            <w:r w:rsidRPr="00A2593F">
              <w:rPr>
                <w:szCs w:val="24"/>
              </w:rPr>
              <w:t>30</w:t>
            </w:r>
            <w:r w:rsidR="00B95694" w:rsidRPr="00A2593F">
              <w:rPr>
                <w:szCs w:val="24"/>
              </w:rPr>
              <w:t xml:space="preserve"> AASHTO T</w:t>
            </w:r>
            <w:r w:rsidR="00B95694">
              <w:rPr>
                <w:szCs w:val="24"/>
              </w:rPr>
              <w:t xml:space="preserve"> </w:t>
            </w:r>
            <w:r w:rsidR="00B95694" w:rsidRPr="00A2593F">
              <w:rPr>
                <w:szCs w:val="24"/>
              </w:rPr>
              <w:t>308</w:t>
            </w:r>
          </w:p>
        </w:tc>
        <w:tc>
          <w:tcPr>
            <w:tcW w:w="1952" w:type="pct"/>
            <w:shd w:val="clear" w:color="auto" w:fill="auto"/>
          </w:tcPr>
          <w:p w14:paraId="12EC93A6" w14:textId="77777777" w:rsidR="00936437" w:rsidRPr="00A2593F" w:rsidRDefault="00936437" w:rsidP="006D03A1">
            <w:pPr>
              <w:keepNext/>
              <w:keepLines/>
              <w:jc w:val="center"/>
              <w:rPr>
                <w:szCs w:val="24"/>
              </w:rPr>
            </w:pPr>
            <w:r w:rsidRPr="00A2593F">
              <w:rPr>
                <w:szCs w:val="24"/>
              </w:rPr>
              <w:t>See above for Specification</w:t>
            </w:r>
          </w:p>
        </w:tc>
      </w:tr>
      <w:tr w:rsidR="00936437" w14:paraId="27BCAA54" w14:textId="77777777" w:rsidTr="00F457F4">
        <w:trPr>
          <w:trHeight w:val="260"/>
          <w:jc w:val="center"/>
        </w:trPr>
        <w:tc>
          <w:tcPr>
            <w:tcW w:w="1506" w:type="pct"/>
          </w:tcPr>
          <w:p w14:paraId="29961983" w14:textId="7301B6E2" w:rsidR="00936437" w:rsidRPr="00A2593F" w:rsidRDefault="00936437" w:rsidP="006D03A1">
            <w:pPr>
              <w:keepNext/>
              <w:keepLines/>
              <w:jc w:val="center"/>
              <w:rPr>
                <w:szCs w:val="24"/>
              </w:rPr>
            </w:pPr>
            <w:r w:rsidRPr="00A2593F">
              <w:rPr>
                <w:szCs w:val="24"/>
              </w:rPr>
              <w:t>Bulk Specific Gravity</w:t>
            </w:r>
          </w:p>
        </w:tc>
        <w:tc>
          <w:tcPr>
            <w:tcW w:w="1542" w:type="pct"/>
            <w:shd w:val="clear" w:color="auto" w:fill="auto"/>
          </w:tcPr>
          <w:p w14:paraId="6319648F" w14:textId="39381448" w:rsidR="00936437" w:rsidRPr="00F30A70" w:rsidRDefault="00936437" w:rsidP="006D03A1">
            <w:pPr>
              <w:keepNext/>
              <w:keepLines/>
              <w:jc w:val="center"/>
              <w:rPr>
                <w:szCs w:val="24"/>
              </w:rPr>
            </w:pPr>
            <w:r w:rsidRPr="00A2593F">
              <w:rPr>
                <w:szCs w:val="24"/>
              </w:rPr>
              <w:t>AASHTO T</w:t>
            </w:r>
            <w:r w:rsidR="00606717">
              <w:rPr>
                <w:szCs w:val="24"/>
              </w:rPr>
              <w:t xml:space="preserve"> </w:t>
            </w:r>
            <w:r w:rsidRPr="00A2593F">
              <w:rPr>
                <w:szCs w:val="24"/>
              </w:rPr>
              <w:t>85</w:t>
            </w:r>
          </w:p>
        </w:tc>
        <w:tc>
          <w:tcPr>
            <w:tcW w:w="1952" w:type="pct"/>
            <w:shd w:val="clear" w:color="auto" w:fill="auto"/>
          </w:tcPr>
          <w:p w14:paraId="38C99096" w14:textId="23D20021" w:rsidR="00936437" w:rsidRPr="00A2593F" w:rsidRDefault="00936437" w:rsidP="006D03A1">
            <w:pPr>
              <w:keepNext/>
              <w:keepLines/>
              <w:jc w:val="center"/>
              <w:rPr>
                <w:szCs w:val="24"/>
              </w:rPr>
            </w:pPr>
            <w:r w:rsidRPr="00A2593F">
              <w:rPr>
                <w:szCs w:val="24"/>
              </w:rPr>
              <w:t xml:space="preserve">&gt; </w:t>
            </w:r>
            <w:r w:rsidR="004A0364">
              <w:rPr>
                <w:szCs w:val="24"/>
              </w:rPr>
              <w:t>2.40</w:t>
            </w:r>
          </w:p>
        </w:tc>
      </w:tr>
      <w:tr w:rsidR="00936437" w14:paraId="36D7F89D" w14:textId="77777777" w:rsidTr="00F457F4">
        <w:trPr>
          <w:trHeight w:val="242"/>
          <w:jc w:val="center"/>
        </w:trPr>
        <w:tc>
          <w:tcPr>
            <w:tcW w:w="1506" w:type="pct"/>
          </w:tcPr>
          <w:p w14:paraId="0BDF1835" w14:textId="20ACD622" w:rsidR="00936437" w:rsidRPr="00A2593F" w:rsidRDefault="00F30A70" w:rsidP="006D03A1">
            <w:pPr>
              <w:keepNext/>
              <w:keepLines/>
              <w:jc w:val="center"/>
              <w:rPr>
                <w:szCs w:val="24"/>
              </w:rPr>
            </w:pPr>
            <w:r w:rsidRPr="00A2593F">
              <w:rPr>
                <w:szCs w:val="24"/>
              </w:rPr>
              <w:t>Absorption</w:t>
            </w:r>
          </w:p>
        </w:tc>
        <w:tc>
          <w:tcPr>
            <w:tcW w:w="1542" w:type="pct"/>
            <w:shd w:val="clear" w:color="auto" w:fill="auto"/>
          </w:tcPr>
          <w:p w14:paraId="08B06BDE" w14:textId="2A61547A" w:rsidR="00936437" w:rsidRPr="00A2593F" w:rsidRDefault="00936437" w:rsidP="006D03A1">
            <w:pPr>
              <w:keepNext/>
              <w:keepLines/>
              <w:jc w:val="center"/>
              <w:rPr>
                <w:szCs w:val="24"/>
              </w:rPr>
            </w:pPr>
          </w:p>
        </w:tc>
        <w:tc>
          <w:tcPr>
            <w:tcW w:w="1952" w:type="pct"/>
            <w:shd w:val="clear" w:color="auto" w:fill="auto"/>
          </w:tcPr>
          <w:p w14:paraId="7326E97B" w14:textId="267D7490" w:rsidR="00936437" w:rsidRPr="00A2593F" w:rsidRDefault="00F30A70" w:rsidP="006D03A1">
            <w:pPr>
              <w:keepNext/>
              <w:keepLines/>
              <w:jc w:val="center"/>
              <w:rPr>
                <w:szCs w:val="24"/>
              </w:rPr>
            </w:pPr>
            <w:r w:rsidRPr="00A2593F">
              <w:rPr>
                <w:szCs w:val="24"/>
              </w:rPr>
              <w:t>&lt; 2.0</w:t>
            </w:r>
          </w:p>
        </w:tc>
      </w:tr>
      <w:tr w:rsidR="00A11007" w14:paraId="5F8E19E7" w14:textId="77777777" w:rsidTr="00F457F4">
        <w:trPr>
          <w:trHeight w:val="242"/>
          <w:jc w:val="center"/>
        </w:trPr>
        <w:tc>
          <w:tcPr>
            <w:tcW w:w="1506" w:type="pct"/>
          </w:tcPr>
          <w:p w14:paraId="17A8F162" w14:textId="69848E67" w:rsidR="00A11007" w:rsidRPr="00A2593F" w:rsidDel="00A11007" w:rsidRDefault="00A11007" w:rsidP="006D03A1">
            <w:pPr>
              <w:keepNext/>
              <w:keepLines/>
              <w:jc w:val="center"/>
              <w:rPr>
                <w:szCs w:val="24"/>
              </w:rPr>
            </w:pPr>
            <w:r>
              <w:rPr>
                <w:szCs w:val="24"/>
              </w:rPr>
              <w:t>Los Angeles Abrasion</w:t>
            </w:r>
          </w:p>
        </w:tc>
        <w:tc>
          <w:tcPr>
            <w:tcW w:w="1542" w:type="pct"/>
            <w:shd w:val="clear" w:color="auto" w:fill="auto"/>
          </w:tcPr>
          <w:p w14:paraId="4740EB0F" w14:textId="074C1D35" w:rsidR="00A11007" w:rsidRPr="00A2593F" w:rsidDel="00A11007" w:rsidRDefault="00A11007" w:rsidP="006D03A1">
            <w:pPr>
              <w:keepNext/>
              <w:keepLines/>
              <w:jc w:val="center"/>
              <w:rPr>
                <w:szCs w:val="24"/>
              </w:rPr>
            </w:pPr>
            <w:r>
              <w:rPr>
                <w:szCs w:val="24"/>
              </w:rPr>
              <w:t>AASHTO T</w:t>
            </w:r>
            <w:r w:rsidR="00BD1842">
              <w:rPr>
                <w:szCs w:val="24"/>
              </w:rPr>
              <w:t xml:space="preserve"> </w:t>
            </w:r>
            <w:r>
              <w:rPr>
                <w:szCs w:val="24"/>
              </w:rPr>
              <w:t>96</w:t>
            </w:r>
          </w:p>
        </w:tc>
        <w:tc>
          <w:tcPr>
            <w:tcW w:w="1952" w:type="pct"/>
            <w:shd w:val="clear" w:color="auto" w:fill="auto"/>
          </w:tcPr>
          <w:p w14:paraId="2086699B" w14:textId="3621ED4D" w:rsidR="00A11007" w:rsidRPr="00A2593F" w:rsidDel="00A11007" w:rsidRDefault="004F5E23" w:rsidP="006D03A1">
            <w:pPr>
              <w:keepNext/>
              <w:keepLines/>
              <w:jc w:val="center"/>
              <w:rPr>
                <w:szCs w:val="24"/>
              </w:rPr>
            </w:pPr>
            <w:r>
              <w:rPr>
                <w:szCs w:val="24"/>
              </w:rPr>
              <w:t>5</w:t>
            </w:r>
            <w:r w:rsidR="004A0364">
              <w:rPr>
                <w:szCs w:val="24"/>
              </w:rPr>
              <w:t>5</w:t>
            </w:r>
            <w:r w:rsidR="00A11007">
              <w:rPr>
                <w:szCs w:val="24"/>
              </w:rPr>
              <w:t>% Max.</w:t>
            </w:r>
          </w:p>
        </w:tc>
      </w:tr>
      <w:tr w:rsidR="00A11007" w14:paraId="0E868693" w14:textId="77777777" w:rsidTr="00F457F4">
        <w:trPr>
          <w:trHeight w:val="242"/>
          <w:jc w:val="center"/>
        </w:trPr>
        <w:tc>
          <w:tcPr>
            <w:tcW w:w="1506" w:type="pct"/>
          </w:tcPr>
          <w:p w14:paraId="51022CDA" w14:textId="59E55DDD" w:rsidR="00A11007" w:rsidRDefault="00A11007" w:rsidP="006D03A1">
            <w:pPr>
              <w:keepNext/>
              <w:keepLines/>
              <w:jc w:val="center"/>
              <w:rPr>
                <w:szCs w:val="24"/>
              </w:rPr>
            </w:pPr>
            <w:r>
              <w:rPr>
                <w:szCs w:val="24"/>
              </w:rPr>
              <w:t>Soundness Loss</w:t>
            </w:r>
          </w:p>
        </w:tc>
        <w:tc>
          <w:tcPr>
            <w:tcW w:w="1542" w:type="pct"/>
            <w:shd w:val="clear" w:color="auto" w:fill="auto"/>
          </w:tcPr>
          <w:p w14:paraId="5B7F88D3" w14:textId="360C0C99" w:rsidR="00A11007" w:rsidRDefault="00A11007" w:rsidP="006D03A1">
            <w:pPr>
              <w:keepNext/>
              <w:keepLines/>
              <w:jc w:val="center"/>
              <w:rPr>
                <w:szCs w:val="24"/>
              </w:rPr>
            </w:pPr>
            <w:r>
              <w:rPr>
                <w:szCs w:val="24"/>
              </w:rPr>
              <w:t>AASHTO T</w:t>
            </w:r>
            <w:r w:rsidR="00BD1842">
              <w:rPr>
                <w:szCs w:val="24"/>
              </w:rPr>
              <w:t xml:space="preserve"> </w:t>
            </w:r>
            <w:r>
              <w:rPr>
                <w:szCs w:val="24"/>
              </w:rPr>
              <w:t>104</w:t>
            </w:r>
          </w:p>
        </w:tc>
        <w:tc>
          <w:tcPr>
            <w:tcW w:w="1952" w:type="pct"/>
            <w:shd w:val="clear" w:color="auto" w:fill="auto"/>
          </w:tcPr>
          <w:p w14:paraId="46B0FA7E" w14:textId="2815CA26" w:rsidR="00A11007" w:rsidRDefault="00A11007" w:rsidP="006D03A1">
            <w:pPr>
              <w:keepNext/>
              <w:keepLines/>
              <w:jc w:val="center"/>
              <w:rPr>
                <w:szCs w:val="24"/>
              </w:rPr>
            </w:pPr>
            <w:r>
              <w:rPr>
                <w:szCs w:val="24"/>
              </w:rPr>
              <w:t>15% Max.</w:t>
            </w:r>
          </w:p>
        </w:tc>
      </w:tr>
      <w:tr w:rsidR="00936437" w14:paraId="2336F5EA" w14:textId="77777777" w:rsidTr="00F457F4">
        <w:trPr>
          <w:trHeight w:val="305"/>
          <w:jc w:val="center"/>
        </w:trPr>
        <w:tc>
          <w:tcPr>
            <w:tcW w:w="1506" w:type="pct"/>
          </w:tcPr>
          <w:p w14:paraId="16696C4A" w14:textId="4D933AC8" w:rsidR="00936437" w:rsidRPr="00A2593F" w:rsidRDefault="00936437" w:rsidP="006D03A1">
            <w:pPr>
              <w:keepNext/>
              <w:keepLines/>
              <w:jc w:val="center"/>
              <w:rPr>
                <w:szCs w:val="24"/>
              </w:rPr>
            </w:pPr>
            <w:r w:rsidRPr="00A2593F">
              <w:rPr>
                <w:szCs w:val="24"/>
              </w:rPr>
              <w:t>Rotational Viscometer</w:t>
            </w:r>
          </w:p>
        </w:tc>
        <w:tc>
          <w:tcPr>
            <w:tcW w:w="1542" w:type="pct"/>
            <w:shd w:val="clear" w:color="auto" w:fill="auto"/>
          </w:tcPr>
          <w:p w14:paraId="656C10C6" w14:textId="7DAF6A70" w:rsidR="00936437" w:rsidRPr="00A2593F" w:rsidRDefault="00936437" w:rsidP="006D03A1">
            <w:pPr>
              <w:keepNext/>
              <w:keepLines/>
              <w:jc w:val="center"/>
              <w:rPr>
                <w:szCs w:val="24"/>
              </w:rPr>
            </w:pPr>
            <w:r w:rsidRPr="00A2593F">
              <w:rPr>
                <w:szCs w:val="24"/>
              </w:rPr>
              <w:t>AASHTO T 315</w:t>
            </w:r>
          </w:p>
        </w:tc>
        <w:tc>
          <w:tcPr>
            <w:tcW w:w="1952" w:type="pct"/>
            <w:shd w:val="clear" w:color="auto" w:fill="auto"/>
          </w:tcPr>
          <w:p w14:paraId="7DCC571D" w14:textId="369437D4" w:rsidR="00936437" w:rsidRPr="00A2593F" w:rsidRDefault="00936437" w:rsidP="006D03A1">
            <w:pPr>
              <w:keepNext/>
              <w:keepLines/>
              <w:jc w:val="center"/>
              <w:rPr>
                <w:szCs w:val="24"/>
              </w:rPr>
            </w:pPr>
            <w:r>
              <w:rPr>
                <w:szCs w:val="24"/>
              </w:rPr>
              <w:t>1</w:t>
            </w:r>
            <w:r w:rsidR="0047136A">
              <w:rPr>
                <w:szCs w:val="24"/>
              </w:rPr>
              <w:t>0</w:t>
            </w:r>
            <w:r w:rsidRPr="00A2593F">
              <w:rPr>
                <w:szCs w:val="24"/>
              </w:rPr>
              <w:t xml:space="preserve">0 – 500 </w:t>
            </w:r>
            <w:proofErr w:type="spellStart"/>
            <w:r w:rsidRPr="00A2593F">
              <w:rPr>
                <w:szCs w:val="24"/>
              </w:rPr>
              <w:t>cP</w:t>
            </w:r>
            <w:proofErr w:type="spellEnd"/>
            <w:r w:rsidRPr="00A2593F">
              <w:rPr>
                <w:szCs w:val="24"/>
              </w:rPr>
              <w:t xml:space="preserve"> @ 60° C </w:t>
            </w:r>
          </w:p>
        </w:tc>
      </w:tr>
      <w:tr w:rsidR="00936437" w14:paraId="4A9ABCB3" w14:textId="77777777" w:rsidTr="00F457F4">
        <w:trPr>
          <w:trHeight w:val="287"/>
          <w:jc w:val="center"/>
        </w:trPr>
        <w:tc>
          <w:tcPr>
            <w:tcW w:w="1506" w:type="pct"/>
          </w:tcPr>
          <w:p w14:paraId="0E84C796" w14:textId="77777777" w:rsidR="00936437" w:rsidRPr="00A2593F" w:rsidRDefault="00936437" w:rsidP="006D03A1">
            <w:pPr>
              <w:keepNext/>
              <w:keepLines/>
              <w:jc w:val="center"/>
              <w:rPr>
                <w:szCs w:val="24"/>
              </w:rPr>
            </w:pPr>
            <w:r w:rsidRPr="00A2593F">
              <w:rPr>
                <w:szCs w:val="24"/>
              </w:rPr>
              <w:t>Stripping Test</w:t>
            </w:r>
          </w:p>
        </w:tc>
        <w:tc>
          <w:tcPr>
            <w:tcW w:w="1542" w:type="pct"/>
          </w:tcPr>
          <w:p w14:paraId="16E9741A" w14:textId="77777777" w:rsidR="00936437" w:rsidRPr="00A2593F" w:rsidRDefault="00936437" w:rsidP="006D03A1">
            <w:pPr>
              <w:keepNext/>
              <w:keepLines/>
              <w:jc w:val="center"/>
              <w:rPr>
                <w:szCs w:val="24"/>
              </w:rPr>
            </w:pPr>
            <w:r w:rsidRPr="00A2593F">
              <w:rPr>
                <w:szCs w:val="24"/>
              </w:rPr>
              <w:t>AASHTO T 182</w:t>
            </w:r>
          </w:p>
        </w:tc>
        <w:tc>
          <w:tcPr>
            <w:tcW w:w="1952" w:type="pct"/>
          </w:tcPr>
          <w:p w14:paraId="1517BC2D" w14:textId="77777777" w:rsidR="00936437" w:rsidRPr="00A2593F" w:rsidRDefault="00936437" w:rsidP="006D03A1">
            <w:pPr>
              <w:keepNext/>
              <w:keepLines/>
              <w:jc w:val="center"/>
              <w:rPr>
                <w:szCs w:val="24"/>
              </w:rPr>
            </w:pPr>
            <w:r w:rsidRPr="00A2593F">
              <w:rPr>
                <w:szCs w:val="24"/>
              </w:rPr>
              <w:t>&gt; 95 %</w:t>
            </w:r>
          </w:p>
        </w:tc>
      </w:tr>
    </w:tbl>
    <w:p w14:paraId="6E47D1CD" w14:textId="717659FF" w:rsidR="00AE2DF0" w:rsidRDefault="00AE2DF0" w:rsidP="00AE2DF0">
      <w:pPr>
        <w:jc w:val="both"/>
      </w:pPr>
    </w:p>
    <w:p w14:paraId="6467737C" w14:textId="430A4787" w:rsidR="00F30A70" w:rsidRDefault="00F30A70" w:rsidP="00AE2DF0">
      <w:pPr>
        <w:jc w:val="both"/>
      </w:pPr>
      <w:r>
        <w:t xml:space="preserve">It may be necessary to heat approved aggregates; however, the asphalt cold patch mixture should not exceed </w:t>
      </w:r>
      <w:r>
        <w:rPr>
          <w:szCs w:val="24"/>
        </w:rPr>
        <w:t xml:space="preserve">220°F.  </w:t>
      </w:r>
    </w:p>
    <w:p w14:paraId="5049D685" w14:textId="3BB7839C" w:rsidR="00F30A70" w:rsidRDefault="00F30A70" w:rsidP="00AE2DF0">
      <w:pPr>
        <w:jc w:val="both"/>
      </w:pPr>
    </w:p>
    <w:p w14:paraId="6E47D1CE" w14:textId="77777777" w:rsidR="00AE2DF0" w:rsidRDefault="00AE2DF0" w:rsidP="00AE2DF0">
      <w:pPr>
        <w:jc w:val="both"/>
        <w:rPr>
          <w:b/>
        </w:rPr>
      </w:pPr>
      <w:r>
        <w:rPr>
          <w:b/>
        </w:rPr>
        <w:t>Measurement and Payment</w:t>
      </w:r>
    </w:p>
    <w:p w14:paraId="6E47D1CF" w14:textId="77777777" w:rsidR="00AE2DF0" w:rsidRDefault="00AE2DF0" w:rsidP="00AE2DF0">
      <w:pPr>
        <w:jc w:val="both"/>
      </w:pPr>
    </w:p>
    <w:p w14:paraId="6E47D1D0" w14:textId="7C66DA55" w:rsidR="00AE2DF0" w:rsidRDefault="006C28E2" w:rsidP="00AE2DF0">
      <w:pPr>
        <w:jc w:val="both"/>
      </w:pPr>
      <w:r>
        <w:rPr>
          <w:i/>
        </w:rPr>
        <w:t xml:space="preserve">Cold </w:t>
      </w:r>
      <w:r w:rsidR="00C30808">
        <w:rPr>
          <w:i/>
        </w:rPr>
        <w:t xml:space="preserve">Patch </w:t>
      </w:r>
      <w:r>
        <w:rPr>
          <w:i/>
        </w:rPr>
        <w:t>Asphalt</w:t>
      </w:r>
      <w:r w:rsidR="00AE2DF0">
        <w:t xml:space="preserve"> will be measured and paid as the actual number of tons of asphalt plant mix that has been </w:t>
      </w:r>
      <w:r w:rsidR="00936437">
        <w:t xml:space="preserve">furnished and loaded in transport vehicles </w:t>
      </w:r>
      <w:r w:rsidR="00AE2DF0">
        <w:t xml:space="preserve">to make completed and accepted repairs.  The asphalt plant mixed material will be measured by being weighed in trucks on certified platform scales or other certified weighing devices. The above price and payment will be full compensation for all work covered by this provision, including but not limited furnishing, </w:t>
      </w:r>
      <w:r w:rsidR="00936437">
        <w:t xml:space="preserve">loading, </w:t>
      </w:r>
      <w:r w:rsidR="00AE2DF0">
        <w:t xml:space="preserve">and </w:t>
      </w:r>
      <w:r w:rsidR="00936437">
        <w:t>weighing</w:t>
      </w:r>
      <w:r w:rsidR="00AE2DF0">
        <w:t xml:space="preserve"> of asphalt plant mix; furnishing of asphalt binder for the asphalt pl</w:t>
      </w:r>
      <w:r w:rsidR="00DD6669">
        <w:t>ant mix; and furnishing scales.</w:t>
      </w:r>
    </w:p>
    <w:p w14:paraId="5C28A084" w14:textId="77777777" w:rsidR="006D03A1" w:rsidRDefault="006D03A1" w:rsidP="00AE2DF0">
      <w:pPr>
        <w:jc w:val="both"/>
      </w:pPr>
    </w:p>
    <w:p w14:paraId="6E47D1D3" w14:textId="77777777" w:rsidR="00AE2DF0" w:rsidRDefault="00AE2DF0" w:rsidP="006D03A1">
      <w:pPr>
        <w:keepNext/>
        <w:keepLines/>
        <w:spacing w:line="240" w:lineRule="exact"/>
        <w:jc w:val="both"/>
      </w:pPr>
      <w:r w:rsidRPr="007C405E">
        <w:t>Payment will be made under:</w:t>
      </w:r>
    </w:p>
    <w:p w14:paraId="09476B08" w14:textId="77777777" w:rsidR="006D03A1" w:rsidRPr="007C405E" w:rsidRDefault="006D03A1" w:rsidP="006D03A1">
      <w:pPr>
        <w:keepNext/>
        <w:keepLines/>
        <w:spacing w:line="240" w:lineRule="exact"/>
        <w:jc w:val="both"/>
      </w:pPr>
    </w:p>
    <w:tbl>
      <w:tblPr>
        <w:tblW w:w="9450" w:type="dxa"/>
        <w:tblInd w:w="18" w:type="dxa"/>
        <w:tblLayout w:type="fixed"/>
        <w:tblLook w:val="0000" w:firstRow="0" w:lastRow="0" w:firstColumn="0" w:lastColumn="0" w:noHBand="0" w:noVBand="0"/>
      </w:tblPr>
      <w:tblGrid>
        <w:gridCol w:w="6750"/>
        <w:gridCol w:w="2700"/>
      </w:tblGrid>
      <w:tr w:rsidR="00AE2DF0" w14:paraId="6E47D1D7" w14:textId="77777777" w:rsidTr="006D03A1">
        <w:tc>
          <w:tcPr>
            <w:tcW w:w="6750" w:type="dxa"/>
          </w:tcPr>
          <w:p w14:paraId="6E47D1D5" w14:textId="77777777" w:rsidR="00AE2DF0" w:rsidRDefault="00AE2DF0" w:rsidP="00A407B9">
            <w:pPr>
              <w:keepNext/>
              <w:keepLines/>
              <w:jc w:val="both"/>
              <w:rPr>
                <w:b/>
              </w:rPr>
            </w:pPr>
            <w:r>
              <w:rPr>
                <w:b/>
              </w:rPr>
              <w:t>Pay Item</w:t>
            </w:r>
          </w:p>
        </w:tc>
        <w:tc>
          <w:tcPr>
            <w:tcW w:w="2700" w:type="dxa"/>
          </w:tcPr>
          <w:p w14:paraId="6E47D1D6" w14:textId="77777777" w:rsidR="00AE2DF0" w:rsidRDefault="00AE2DF0" w:rsidP="00A407B9">
            <w:pPr>
              <w:keepNext/>
              <w:keepLines/>
              <w:rPr>
                <w:b/>
              </w:rPr>
            </w:pPr>
            <w:r>
              <w:rPr>
                <w:b/>
              </w:rPr>
              <w:t>Pay Unit</w:t>
            </w:r>
          </w:p>
        </w:tc>
      </w:tr>
      <w:tr w:rsidR="00AE2DF0" w14:paraId="6E47D1DA" w14:textId="77777777" w:rsidTr="006D03A1">
        <w:tc>
          <w:tcPr>
            <w:tcW w:w="6750" w:type="dxa"/>
          </w:tcPr>
          <w:p w14:paraId="6E47D1D8" w14:textId="10D2FC59" w:rsidR="00AE2DF0" w:rsidRDefault="00936437" w:rsidP="00A407B9">
            <w:pPr>
              <w:keepLines/>
            </w:pPr>
            <w:r>
              <w:t xml:space="preserve">Cold </w:t>
            </w:r>
            <w:r w:rsidR="00C30808">
              <w:t>Patch Asphalt</w:t>
            </w:r>
          </w:p>
        </w:tc>
        <w:tc>
          <w:tcPr>
            <w:tcW w:w="2700" w:type="dxa"/>
          </w:tcPr>
          <w:p w14:paraId="6E47D1D9" w14:textId="77777777" w:rsidR="00AE2DF0" w:rsidRDefault="00AE2DF0" w:rsidP="00A407B9">
            <w:pPr>
              <w:keepNext/>
              <w:keepLines/>
            </w:pPr>
            <w:r>
              <w:t>Ton</w:t>
            </w:r>
          </w:p>
        </w:tc>
      </w:tr>
    </w:tbl>
    <w:p w14:paraId="6E47D1DB" w14:textId="77777777" w:rsidR="00AE2DF0" w:rsidRDefault="00AE2DF0" w:rsidP="00AE2DF0">
      <w:pPr>
        <w:jc w:val="both"/>
      </w:pPr>
    </w:p>
    <w:sectPr w:rsidR="00AE2DF0">
      <w:head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B39A5" w14:textId="77777777" w:rsidR="00F171A6" w:rsidRDefault="00F171A6">
      <w:r>
        <w:separator/>
      </w:r>
    </w:p>
  </w:endnote>
  <w:endnote w:type="continuationSeparator" w:id="0">
    <w:p w14:paraId="433CA8C2" w14:textId="77777777" w:rsidR="00F171A6" w:rsidRDefault="00F1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2B7E4" w14:textId="77777777" w:rsidR="00F171A6" w:rsidRDefault="00F171A6">
      <w:r>
        <w:separator/>
      </w:r>
    </w:p>
  </w:footnote>
  <w:footnote w:type="continuationSeparator" w:id="0">
    <w:p w14:paraId="330CCFE1" w14:textId="77777777" w:rsidR="00F171A6" w:rsidRDefault="00F1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7D1E0" w14:textId="77777777" w:rsidR="00A407B9" w:rsidRPr="00AF68C4" w:rsidRDefault="00A407B9">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2"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FBD1F04"/>
    <w:multiLevelType w:val="hybridMultilevel"/>
    <w:tmpl w:val="CD40B56C"/>
    <w:lvl w:ilvl="0" w:tplc="4C2492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51833683">
    <w:abstractNumId w:val="1"/>
  </w:num>
  <w:num w:numId="2" w16cid:durableId="1209343020">
    <w:abstractNumId w:val="5"/>
  </w:num>
  <w:num w:numId="3" w16cid:durableId="983849568">
    <w:abstractNumId w:val="4"/>
  </w:num>
  <w:num w:numId="4" w16cid:durableId="789515909">
    <w:abstractNumId w:val="6"/>
  </w:num>
  <w:num w:numId="5" w16cid:durableId="1856770742">
    <w:abstractNumId w:val="2"/>
  </w:num>
  <w:num w:numId="6" w16cid:durableId="1308124262">
    <w:abstractNumId w:val="0"/>
  </w:num>
  <w:num w:numId="7" w16cid:durableId="2115048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65"/>
    <w:rsid w:val="00010CF4"/>
    <w:rsid w:val="0004701A"/>
    <w:rsid w:val="00050BF0"/>
    <w:rsid w:val="00054042"/>
    <w:rsid w:val="000614C2"/>
    <w:rsid w:val="000677C0"/>
    <w:rsid w:val="00073D89"/>
    <w:rsid w:val="000922FE"/>
    <w:rsid w:val="000B38A4"/>
    <w:rsid w:val="000C19C3"/>
    <w:rsid w:val="000D6E26"/>
    <w:rsid w:val="000D7750"/>
    <w:rsid w:val="000E771C"/>
    <w:rsid w:val="000F450C"/>
    <w:rsid w:val="000F5DFC"/>
    <w:rsid w:val="001041B8"/>
    <w:rsid w:val="00115DDD"/>
    <w:rsid w:val="001214DF"/>
    <w:rsid w:val="00123304"/>
    <w:rsid w:val="00151057"/>
    <w:rsid w:val="00161F3D"/>
    <w:rsid w:val="00163FA7"/>
    <w:rsid w:val="0017336F"/>
    <w:rsid w:val="001920EB"/>
    <w:rsid w:val="001C03DC"/>
    <w:rsid w:val="001F1D97"/>
    <w:rsid w:val="002007B9"/>
    <w:rsid w:val="002026B5"/>
    <w:rsid w:val="00220DB8"/>
    <w:rsid w:val="00221E70"/>
    <w:rsid w:val="0023180D"/>
    <w:rsid w:val="00256448"/>
    <w:rsid w:val="002A386E"/>
    <w:rsid w:val="002A7CF4"/>
    <w:rsid w:val="002A7E47"/>
    <w:rsid w:val="002B124D"/>
    <w:rsid w:val="002B2242"/>
    <w:rsid w:val="002D71A6"/>
    <w:rsid w:val="002E107C"/>
    <w:rsid w:val="002E1241"/>
    <w:rsid w:val="002E2FFE"/>
    <w:rsid w:val="00302790"/>
    <w:rsid w:val="00310AE3"/>
    <w:rsid w:val="003159E6"/>
    <w:rsid w:val="00336952"/>
    <w:rsid w:val="003444E6"/>
    <w:rsid w:val="00367EDD"/>
    <w:rsid w:val="00371A93"/>
    <w:rsid w:val="003858B2"/>
    <w:rsid w:val="003A466E"/>
    <w:rsid w:val="003B3245"/>
    <w:rsid w:val="003B4CDB"/>
    <w:rsid w:val="003B7BF3"/>
    <w:rsid w:val="003F2A56"/>
    <w:rsid w:val="00403B90"/>
    <w:rsid w:val="00410832"/>
    <w:rsid w:val="00446EAB"/>
    <w:rsid w:val="00457B45"/>
    <w:rsid w:val="004614F1"/>
    <w:rsid w:val="00463C2F"/>
    <w:rsid w:val="00470CA1"/>
    <w:rsid w:val="0047136A"/>
    <w:rsid w:val="004772FD"/>
    <w:rsid w:val="00483823"/>
    <w:rsid w:val="00495A61"/>
    <w:rsid w:val="004A0364"/>
    <w:rsid w:val="004B2889"/>
    <w:rsid w:val="004C1995"/>
    <w:rsid w:val="004D3333"/>
    <w:rsid w:val="004D639A"/>
    <w:rsid w:val="004E2976"/>
    <w:rsid w:val="004E5411"/>
    <w:rsid w:val="004F1661"/>
    <w:rsid w:val="004F5E23"/>
    <w:rsid w:val="0054253A"/>
    <w:rsid w:val="005532C7"/>
    <w:rsid w:val="005610F8"/>
    <w:rsid w:val="0057062B"/>
    <w:rsid w:val="00572080"/>
    <w:rsid w:val="0058297C"/>
    <w:rsid w:val="005A16D5"/>
    <w:rsid w:val="005A47AE"/>
    <w:rsid w:val="005B6318"/>
    <w:rsid w:val="005C210A"/>
    <w:rsid w:val="005D54C2"/>
    <w:rsid w:val="005D5E63"/>
    <w:rsid w:val="005F07FA"/>
    <w:rsid w:val="005F375D"/>
    <w:rsid w:val="00606717"/>
    <w:rsid w:val="00624E8B"/>
    <w:rsid w:val="006337F6"/>
    <w:rsid w:val="0063587F"/>
    <w:rsid w:val="0064008E"/>
    <w:rsid w:val="00645323"/>
    <w:rsid w:val="006643FE"/>
    <w:rsid w:val="0068422D"/>
    <w:rsid w:val="006917BD"/>
    <w:rsid w:val="00694D3B"/>
    <w:rsid w:val="006A58C9"/>
    <w:rsid w:val="006C28E2"/>
    <w:rsid w:val="006D03A1"/>
    <w:rsid w:val="006F2C60"/>
    <w:rsid w:val="0071289B"/>
    <w:rsid w:val="007203B2"/>
    <w:rsid w:val="00720F60"/>
    <w:rsid w:val="00725205"/>
    <w:rsid w:val="00730409"/>
    <w:rsid w:val="007329E1"/>
    <w:rsid w:val="00740EB6"/>
    <w:rsid w:val="00771895"/>
    <w:rsid w:val="0077208E"/>
    <w:rsid w:val="007855B2"/>
    <w:rsid w:val="00785F28"/>
    <w:rsid w:val="00786873"/>
    <w:rsid w:val="0079360B"/>
    <w:rsid w:val="007A225C"/>
    <w:rsid w:val="007A404F"/>
    <w:rsid w:val="007A701A"/>
    <w:rsid w:val="007B17AF"/>
    <w:rsid w:val="007C2B4B"/>
    <w:rsid w:val="007C405E"/>
    <w:rsid w:val="007E1D08"/>
    <w:rsid w:val="008066C1"/>
    <w:rsid w:val="008107F5"/>
    <w:rsid w:val="008407FA"/>
    <w:rsid w:val="00844106"/>
    <w:rsid w:val="00855E65"/>
    <w:rsid w:val="008562A0"/>
    <w:rsid w:val="00866B5C"/>
    <w:rsid w:val="0089280D"/>
    <w:rsid w:val="008979FF"/>
    <w:rsid w:val="008A18D2"/>
    <w:rsid w:val="008E4FC4"/>
    <w:rsid w:val="0090051A"/>
    <w:rsid w:val="0090202A"/>
    <w:rsid w:val="0091031C"/>
    <w:rsid w:val="009202B1"/>
    <w:rsid w:val="00921EAB"/>
    <w:rsid w:val="00936437"/>
    <w:rsid w:val="00974058"/>
    <w:rsid w:val="009766EB"/>
    <w:rsid w:val="00983E9B"/>
    <w:rsid w:val="00984CC5"/>
    <w:rsid w:val="0098716C"/>
    <w:rsid w:val="009B42AC"/>
    <w:rsid w:val="00A01B0F"/>
    <w:rsid w:val="00A01E45"/>
    <w:rsid w:val="00A11007"/>
    <w:rsid w:val="00A13A48"/>
    <w:rsid w:val="00A17249"/>
    <w:rsid w:val="00A2147E"/>
    <w:rsid w:val="00A33835"/>
    <w:rsid w:val="00A37916"/>
    <w:rsid w:val="00A407B9"/>
    <w:rsid w:val="00A72665"/>
    <w:rsid w:val="00A74192"/>
    <w:rsid w:val="00A80503"/>
    <w:rsid w:val="00A91A32"/>
    <w:rsid w:val="00AA0B46"/>
    <w:rsid w:val="00AA133E"/>
    <w:rsid w:val="00AC6F15"/>
    <w:rsid w:val="00AE0ED4"/>
    <w:rsid w:val="00AE2DF0"/>
    <w:rsid w:val="00AE48F7"/>
    <w:rsid w:val="00AF68C4"/>
    <w:rsid w:val="00B16BFF"/>
    <w:rsid w:val="00B2162B"/>
    <w:rsid w:val="00B50727"/>
    <w:rsid w:val="00B5492B"/>
    <w:rsid w:val="00B602EF"/>
    <w:rsid w:val="00B779B8"/>
    <w:rsid w:val="00B95694"/>
    <w:rsid w:val="00BD1842"/>
    <w:rsid w:val="00BD6E2C"/>
    <w:rsid w:val="00BF0E24"/>
    <w:rsid w:val="00BF4442"/>
    <w:rsid w:val="00C10EEC"/>
    <w:rsid w:val="00C30808"/>
    <w:rsid w:val="00C329E9"/>
    <w:rsid w:val="00C34422"/>
    <w:rsid w:val="00C54ABD"/>
    <w:rsid w:val="00C714D5"/>
    <w:rsid w:val="00C856BA"/>
    <w:rsid w:val="00C92CC7"/>
    <w:rsid w:val="00C9654B"/>
    <w:rsid w:val="00CB08A5"/>
    <w:rsid w:val="00CB4126"/>
    <w:rsid w:val="00CC2923"/>
    <w:rsid w:val="00CE0ACE"/>
    <w:rsid w:val="00CE3C99"/>
    <w:rsid w:val="00CF72CE"/>
    <w:rsid w:val="00D05D22"/>
    <w:rsid w:val="00D14AAC"/>
    <w:rsid w:val="00D25E99"/>
    <w:rsid w:val="00D5035D"/>
    <w:rsid w:val="00D601D5"/>
    <w:rsid w:val="00D71E58"/>
    <w:rsid w:val="00D860DC"/>
    <w:rsid w:val="00D87302"/>
    <w:rsid w:val="00D907AC"/>
    <w:rsid w:val="00D9290A"/>
    <w:rsid w:val="00DB779A"/>
    <w:rsid w:val="00DC662B"/>
    <w:rsid w:val="00DD6669"/>
    <w:rsid w:val="00E0350F"/>
    <w:rsid w:val="00E06250"/>
    <w:rsid w:val="00E10339"/>
    <w:rsid w:val="00E25368"/>
    <w:rsid w:val="00E27D4E"/>
    <w:rsid w:val="00E3348C"/>
    <w:rsid w:val="00E425D7"/>
    <w:rsid w:val="00E447DB"/>
    <w:rsid w:val="00E6246C"/>
    <w:rsid w:val="00E6675A"/>
    <w:rsid w:val="00E81B11"/>
    <w:rsid w:val="00E86EE2"/>
    <w:rsid w:val="00E957D9"/>
    <w:rsid w:val="00EC00E6"/>
    <w:rsid w:val="00ED156A"/>
    <w:rsid w:val="00EE60FF"/>
    <w:rsid w:val="00EE625F"/>
    <w:rsid w:val="00EF5ADD"/>
    <w:rsid w:val="00EF646C"/>
    <w:rsid w:val="00F171A6"/>
    <w:rsid w:val="00F21123"/>
    <w:rsid w:val="00F30A70"/>
    <w:rsid w:val="00F34282"/>
    <w:rsid w:val="00F434EF"/>
    <w:rsid w:val="00F457F4"/>
    <w:rsid w:val="00F52534"/>
    <w:rsid w:val="00F71C9C"/>
    <w:rsid w:val="00F72E1B"/>
    <w:rsid w:val="00F91EC6"/>
    <w:rsid w:val="00FA1F69"/>
    <w:rsid w:val="00FA4337"/>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7D1B8"/>
  <w15:docId w15:val="{0425CCFC-BCAE-4098-8D54-B63D4FFB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E3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041B8"/>
    <w:pPr>
      <w:jc w:val="both"/>
    </w:pPr>
  </w:style>
  <w:style w:type="character" w:customStyle="1" w:styleId="BodyTextChar">
    <w:name w:val="Body Text Char"/>
    <w:basedOn w:val="DefaultParagraphFont"/>
    <w:link w:val="BodyText"/>
    <w:rsid w:val="001041B8"/>
    <w:rPr>
      <w:sz w:val="24"/>
    </w:rPr>
  </w:style>
  <w:style w:type="paragraph" w:styleId="BalloonText">
    <w:name w:val="Balloon Text"/>
    <w:basedOn w:val="Normal"/>
    <w:link w:val="BalloonTextChar"/>
    <w:rsid w:val="00AE2DF0"/>
    <w:rPr>
      <w:rFonts w:ascii="Tahoma" w:hAnsi="Tahoma" w:cs="Tahoma"/>
      <w:sz w:val="16"/>
      <w:szCs w:val="16"/>
    </w:rPr>
  </w:style>
  <w:style w:type="character" w:customStyle="1" w:styleId="BalloonTextChar">
    <w:name w:val="Balloon Text Char"/>
    <w:basedOn w:val="DefaultParagraphFont"/>
    <w:link w:val="BalloonText"/>
    <w:rsid w:val="00AE2DF0"/>
    <w:rPr>
      <w:rFonts w:ascii="Tahoma" w:hAnsi="Tahoma" w:cs="Tahoma"/>
      <w:sz w:val="16"/>
      <w:szCs w:val="16"/>
    </w:rPr>
  </w:style>
  <w:style w:type="character" w:styleId="CommentReference">
    <w:name w:val="annotation reference"/>
    <w:basedOn w:val="DefaultParagraphFont"/>
    <w:semiHidden/>
    <w:unhideWhenUsed/>
    <w:rsid w:val="000677C0"/>
    <w:rPr>
      <w:sz w:val="16"/>
      <w:szCs w:val="16"/>
    </w:rPr>
  </w:style>
  <w:style w:type="paragraph" w:styleId="CommentText">
    <w:name w:val="annotation text"/>
    <w:basedOn w:val="Normal"/>
    <w:link w:val="CommentTextChar"/>
    <w:semiHidden/>
    <w:unhideWhenUsed/>
    <w:rsid w:val="000677C0"/>
    <w:rPr>
      <w:sz w:val="20"/>
    </w:rPr>
  </w:style>
  <w:style w:type="character" w:customStyle="1" w:styleId="CommentTextChar">
    <w:name w:val="Comment Text Char"/>
    <w:basedOn w:val="DefaultParagraphFont"/>
    <w:link w:val="CommentText"/>
    <w:semiHidden/>
    <w:rsid w:val="000677C0"/>
  </w:style>
  <w:style w:type="paragraph" w:styleId="CommentSubject">
    <w:name w:val="annotation subject"/>
    <w:basedOn w:val="CommentText"/>
    <w:next w:val="CommentText"/>
    <w:link w:val="CommentSubjectChar"/>
    <w:semiHidden/>
    <w:unhideWhenUsed/>
    <w:rsid w:val="000677C0"/>
    <w:rPr>
      <w:b/>
      <w:bCs/>
    </w:rPr>
  </w:style>
  <w:style w:type="character" w:customStyle="1" w:styleId="CommentSubjectChar">
    <w:name w:val="Comment Subject Char"/>
    <w:basedOn w:val="CommentTextChar"/>
    <w:link w:val="CommentSubject"/>
    <w:semiHidden/>
    <w:rsid w:val="000677C0"/>
    <w:rPr>
      <w:b/>
      <w:bCs/>
    </w:rPr>
  </w:style>
  <w:style w:type="paragraph" w:styleId="Revision">
    <w:name w:val="Revision"/>
    <w:hidden/>
    <w:uiPriority w:val="99"/>
    <w:semiHidden/>
    <w:rsid w:val="00C10E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CONNECT-1368027980-61</_dlc_DocId>
    <_dlc_DocIdUrl xmlns="16f00c2e-ac5c-418b-9f13-a0771dbd417d">
      <Url>https://connect.ncdot.gov/resources/Specifications/_layouts/15/DocIdRedir.aspx?ID=CONNECT-1368027980-61</Url>
      <Description>CONNECT-1368027980-61</Description>
    </_dlc_DocIdUrl>
    <_dlc_DocIdPersistId xmlns="16f00c2e-ac5c-418b-9f13-a0771dbd417d">false</_dlc_DocIdPersistId>
    <Let_x0020_Date xmlns="18eea951-c1a4-4244-8cc7-be1efbfe7cb6">2025-02</Let_x0020_Date>
    <File_x0020_Category xmlns="18eea951-c1a4-4244-8cc7-be1efbfe7cb6" xsi:nil="true"/>
    <Provision xmlns="18eea951-c1a4-4244-8cc7-be1efbfe7cb6">COLD PATCH ASPHALT</Provision>
    <No_x002e_ xmlns="18eea951-c1a4-4244-8cc7-be1efbfe7cb6">SPI 06</No_x002e_>
    <Provision_x0020_Number xmlns="18eea951-c1a4-4244-8cc7-be1efbfe7cb6">SPI 06-09</Provision_x0020_Number>
    <Provision_x0020_Year xmlns="18eea951-c1a4-4244-8cc7-be1efbfe7cb6">2024 Standard Specifications</Provision_x0020_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BDC1D-383C-4A3F-9D43-DDCE8F307B4E}"/>
</file>

<file path=customXml/itemProps2.xml><?xml version="1.0" encoding="utf-8"?>
<ds:datastoreItem xmlns:ds="http://schemas.openxmlformats.org/officeDocument/2006/customXml" ds:itemID="{D1564BAE-6269-4AAF-B433-2884D7746243}"/>
</file>

<file path=customXml/itemProps3.xml><?xml version="1.0" encoding="utf-8"?>
<ds:datastoreItem xmlns:ds="http://schemas.openxmlformats.org/officeDocument/2006/customXml" ds:itemID="{1BB2159B-EF3B-441D-891E-DE8FB8580BCC}">
  <ds:schemaRefs>
    <ds:schemaRef ds:uri="http://schemas.microsoft.com/office/2006/metadata/properties"/>
    <ds:schemaRef ds:uri="http://schemas.microsoft.com/office/infopath/2007/PartnerControls"/>
    <ds:schemaRef ds:uri="http://schemas.microsoft.com/sharepoint/v3"/>
    <ds:schemaRef ds:uri="1db4f43e-251b-4c91-b1c3-46929b1fad45"/>
    <ds:schemaRef ds:uri="16f00c2e-ac5c-418b-9f13-a0771dbd417d"/>
  </ds:schemaRefs>
</ds:datastoreItem>
</file>

<file path=customXml/itemProps4.xml><?xml version="1.0" encoding="utf-8"?>
<ds:datastoreItem xmlns:ds="http://schemas.openxmlformats.org/officeDocument/2006/customXml" ds:itemID="{A5FE60EB-DE85-4E65-A9E1-B0BA5C1C886C}">
  <ds:schemaRefs>
    <ds:schemaRef ds:uri="http://schemas.microsoft.com/sharepoint/v3/contenttype/forms"/>
  </ds:schemaRefs>
</ds:datastoreItem>
</file>

<file path=customXml/itemProps5.xml><?xml version="1.0" encoding="utf-8"?>
<ds:datastoreItem xmlns:ds="http://schemas.openxmlformats.org/officeDocument/2006/customXml" ds:itemID="{9C4BEC7C-64C5-4719-8813-AB577FD4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573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PATCH ASPHALT</dc:title>
  <dc:creator>fadams</dc:creator>
  <cp:keywords>610, SP6, R88, R88R, SP6R88R, SP6 R88R, Patching Existing Pavement, Patching, Existing, Pavement, 250, Section 250, base, binder, surface, intermediate, 104, 104-5, pay item, ton</cp:keywords>
  <cp:lastModifiedBy>Penny, Lisa E</cp:lastModifiedBy>
  <cp:revision>11</cp:revision>
  <cp:lastPrinted>2018-04-18T14:24:00Z</cp:lastPrinted>
  <dcterms:created xsi:type="dcterms:W3CDTF">2024-12-10T20:59:00Z</dcterms:created>
  <dcterms:modified xsi:type="dcterms:W3CDTF">2024-12-19T18:20:00Z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5a6d4d70-32ff-4053-8624-be68c5dc4e9e</vt:lpwstr>
  </property>
  <property fmtid="{D5CDD505-2E9C-101B-9397-08002B2CF9AE}" pid="3" name="ContentTypeId">
    <vt:lpwstr>0x01010070ACFB5EAD3B174A867EB7B9781782DF</vt:lpwstr>
  </property>
  <property fmtid="{D5CDD505-2E9C-101B-9397-08002B2CF9AE}" pid="4" name="Order">
    <vt:r8>6100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